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0"/>
        <w:gridCol w:w="5264"/>
      </w:tblGrid>
      <w:tr w:rsidR="006B0617" w:rsidRPr="001641EA" w:rsidTr="00DB0D2B">
        <w:tc>
          <w:tcPr>
            <w:tcW w:w="4200" w:type="dxa"/>
          </w:tcPr>
          <w:p w:rsidR="006B0617" w:rsidRPr="00664FC2" w:rsidRDefault="006B0617" w:rsidP="00E03325">
            <w:pPr>
              <w:jc w:val="center"/>
              <w:rPr>
                <w:sz w:val="26"/>
                <w:szCs w:val="26"/>
              </w:rPr>
            </w:pPr>
            <w:r w:rsidRPr="00664FC2">
              <w:rPr>
                <w:sz w:val="26"/>
                <w:szCs w:val="26"/>
              </w:rPr>
              <w:t>BỘ CÔNG AN</w:t>
            </w:r>
          </w:p>
          <w:p w:rsidR="006B0617" w:rsidRPr="00664FC2" w:rsidRDefault="006B0617" w:rsidP="00E03325">
            <w:pPr>
              <w:jc w:val="center"/>
              <w:rPr>
                <w:b/>
                <w:sz w:val="26"/>
                <w:szCs w:val="26"/>
              </w:rPr>
            </w:pPr>
            <w:r w:rsidRPr="00664FC2">
              <w:rPr>
                <w:b/>
                <w:sz w:val="26"/>
                <w:szCs w:val="26"/>
              </w:rPr>
              <w:t>CỤC TỔ CHỨC CÁN BỘ</w:t>
            </w:r>
          </w:p>
          <w:p w:rsidR="006B0617" w:rsidRPr="001641EA" w:rsidRDefault="00212C70" w:rsidP="00E03325">
            <w:pPr>
              <w:jc w:val="center"/>
              <w:rPr>
                <w:b/>
                <w:spacing w:val="-8"/>
              </w:rPr>
            </w:pPr>
            <w:r>
              <w:rPr>
                <w:noProof/>
                <w:spacing w:val="-8"/>
              </w:rPr>
              <w:pict>
                <v:line id="_x0000_s1060" style="position:absolute;left:0;text-align:left;flip:y;z-index:251667456" from="68.2pt,2.7pt" to="131.8pt,2.8pt"/>
              </w:pict>
            </w:r>
            <w:r w:rsidR="00B0259D">
              <w:rPr>
                <w:b/>
                <w:spacing w:val="-8"/>
              </w:rPr>
              <w:t xml:space="preserve"> </w:t>
            </w:r>
          </w:p>
          <w:p w:rsidR="006B0617" w:rsidRDefault="006B0617" w:rsidP="00E03325">
            <w:pPr>
              <w:jc w:val="center"/>
              <w:rPr>
                <w:spacing w:val="-8"/>
              </w:rPr>
            </w:pPr>
            <w:r>
              <w:rPr>
                <w:spacing w:val="-8"/>
              </w:rPr>
              <w:t xml:space="preserve">Số: </w:t>
            </w:r>
            <w:r w:rsidR="00B0259D">
              <w:rPr>
                <w:spacing w:val="-8"/>
              </w:rPr>
              <w:t xml:space="preserve">      </w:t>
            </w:r>
            <w:r w:rsidR="00A45D5F">
              <w:rPr>
                <w:spacing w:val="-8"/>
              </w:rPr>
              <w:t xml:space="preserve">   </w:t>
            </w:r>
            <w:r w:rsidR="00B0259D">
              <w:rPr>
                <w:spacing w:val="-8"/>
              </w:rPr>
              <w:t xml:space="preserve">   </w:t>
            </w:r>
            <w:r>
              <w:rPr>
                <w:spacing w:val="-8"/>
              </w:rPr>
              <w:t>/</w:t>
            </w:r>
            <w:r w:rsidR="000E4FC7">
              <w:rPr>
                <w:spacing w:val="-8"/>
              </w:rPr>
              <w:t>TTr-X01</w:t>
            </w:r>
          </w:p>
          <w:p w:rsidR="006B0617" w:rsidRPr="00DF3643" w:rsidRDefault="006B0617" w:rsidP="00E03325">
            <w:pPr>
              <w:jc w:val="center"/>
              <w:rPr>
                <w:spacing w:val="-8"/>
                <w:sz w:val="8"/>
              </w:rPr>
            </w:pPr>
          </w:p>
          <w:p w:rsidR="006B0617" w:rsidRPr="00204D94" w:rsidRDefault="00204D94" w:rsidP="00BD2AAF">
            <w:pPr>
              <w:jc w:val="center"/>
              <w:rPr>
                <w:b/>
                <w:spacing w:val="-8"/>
                <w:u w:val="single"/>
              </w:rPr>
            </w:pPr>
            <w:r w:rsidRPr="00204D94">
              <w:rPr>
                <w:b/>
                <w:spacing w:val="-8"/>
                <w:u w:val="single"/>
              </w:rPr>
              <w:t>DỰ THẢO</w:t>
            </w:r>
          </w:p>
        </w:tc>
        <w:tc>
          <w:tcPr>
            <w:tcW w:w="5264" w:type="dxa"/>
          </w:tcPr>
          <w:p w:rsidR="006B0617" w:rsidRPr="00CD767C" w:rsidRDefault="006B0617" w:rsidP="00E03325">
            <w:pPr>
              <w:jc w:val="center"/>
              <w:rPr>
                <w:b/>
                <w:spacing w:val="-8"/>
                <w:sz w:val="24"/>
              </w:rPr>
            </w:pPr>
            <w:r w:rsidRPr="00CD767C">
              <w:rPr>
                <w:b/>
                <w:spacing w:val="-8"/>
                <w:sz w:val="24"/>
              </w:rPr>
              <w:t xml:space="preserve">CỘNG HÒA XÃ HỘI CHỦ NGHĨA VIỆT </w:t>
            </w:r>
            <w:smartTag w:uri="urn:schemas-microsoft-com:office:smarttags" w:element="place">
              <w:smartTag w:uri="urn:schemas-microsoft-com:office:smarttags" w:element="country-region">
                <w:r w:rsidRPr="00CD767C">
                  <w:rPr>
                    <w:b/>
                    <w:spacing w:val="-8"/>
                    <w:sz w:val="24"/>
                  </w:rPr>
                  <w:t>NAM</w:t>
                </w:r>
              </w:smartTag>
            </w:smartTag>
          </w:p>
          <w:p w:rsidR="006B0617" w:rsidRPr="00664FC2" w:rsidRDefault="006B0617" w:rsidP="00E03325">
            <w:pPr>
              <w:jc w:val="center"/>
              <w:rPr>
                <w:rFonts w:ascii="Times New Roman Bold" w:hAnsi="Times New Roman Bold"/>
                <w:b/>
              </w:rPr>
            </w:pPr>
            <w:r w:rsidRPr="00664FC2">
              <w:rPr>
                <w:rFonts w:ascii="Times New Roman Bold" w:hAnsi="Times New Roman Bold"/>
                <w:b/>
              </w:rPr>
              <w:t>Độc lập - Tự do - Hạnh phúc</w:t>
            </w:r>
          </w:p>
          <w:p w:rsidR="006B0617" w:rsidRPr="001641EA" w:rsidRDefault="00212C70" w:rsidP="00E03325">
            <w:pPr>
              <w:jc w:val="center"/>
              <w:rPr>
                <w:b/>
                <w:spacing w:val="-8"/>
              </w:rPr>
            </w:pPr>
            <w:r>
              <w:rPr>
                <w:noProof/>
                <w:spacing w:val="-8"/>
              </w:rPr>
              <w:pict>
                <v:line id="_x0000_s1061" style="position:absolute;left:0;text-align:left;z-index:251668480" from="54.45pt,2.8pt" to="201.45pt,2.8pt"/>
              </w:pict>
            </w:r>
          </w:p>
          <w:p w:rsidR="006B0617" w:rsidRPr="00D44EAC" w:rsidRDefault="007B68D4" w:rsidP="001269F4">
            <w:pPr>
              <w:jc w:val="center"/>
              <w:rPr>
                <w:rFonts w:ascii="Times New Roman Italic" w:hAnsi="Times New Roman Italic"/>
                <w:i/>
              </w:rPr>
            </w:pPr>
            <w:r>
              <w:rPr>
                <w:rFonts w:ascii="Times New Roman Italic" w:hAnsi="Times New Roman Italic"/>
                <w:i/>
              </w:rPr>
              <w:t xml:space="preserve">Hà Nội, ngày </w:t>
            </w:r>
            <w:r w:rsidR="001269F4">
              <w:rPr>
                <w:rFonts w:ascii="Times New Roman Italic" w:hAnsi="Times New Roman Italic"/>
                <w:i/>
              </w:rPr>
              <w:t xml:space="preserve">   </w:t>
            </w:r>
            <w:r w:rsidR="00B0259D" w:rsidRPr="00D44EAC">
              <w:rPr>
                <w:rFonts w:ascii="Times New Roman Italic" w:hAnsi="Times New Roman Italic"/>
                <w:i/>
              </w:rPr>
              <w:t xml:space="preserve"> </w:t>
            </w:r>
            <w:r w:rsidR="006B0617" w:rsidRPr="00D44EAC">
              <w:rPr>
                <w:rFonts w:ascii="Times New Roman Italic" w:hAnsi="Times New Roman Italic"/>
                <w:i/>
              </w:rPr>
              <w:t xml:space="preserve">tháng </w:t>
            </w:r>
            <w:r w:rsidR="001269F4">
              <w:rPr>
                <w:rFonts w:ascii="Times New Roman Italic" w:hAnsi="Times New Roman Italic"/>
                <w:i/>
              </w:rPr>
              <w:t xml:space="preserve">  </w:t>
            </w:r>
            <w:r w:rsidR="00C5249A" w:rsidRPr="00D44EAC">
              <w:rPr>
                <w:rFonts w:ascii="Times New Roman Italic" w:hAnsi="Times New Roman Italic"/>
                <w:i/>
              </w:rPr>
              <w:t xml:space="preserve"> </w:t>
            </w:r>
            <w:r w:rsidR="006B0617" w:rsidRPr="00D44EAC">
              <w:rPr>
                <w:rFonts w:ascii="Times New Roman Italic" w:hAnsi="Times New Roman Italic"/>
                <w:i/>
              </w:rPr>
              <w:t>năm 202</w:t>
            </w:r>
            <w:r w:rsidR="001269F4">
              <w:rPr>
                <w:rFonts w:ascii="Times New Roman Italic" w:hAnsi="Times New Roman Italic"/>
                <w:i/>
              </w:rPr>
              <w:t>5</w:t>
            </w:r>
          </w:p>
        </w:tc>
      </w:tr>
    </w:tbl>
    <w:p w:rsidR="000E4FC7" w:rsidRPr="000E4FC7" w:rsidRDefault="000E4FC7" w:rsidP="001B6A20">
      <w:pPr>
        <w:pStyle w:val="Heading5"/>
        <w:spacing w:before="120"/>
        <w:jc w:val="center"/>
        <w:rPr>
          <w:rFonts w:ascii="Times New Roman" w:hAnsi="Times New Roman"/>
          <w:b/>
          <w:color w:val="000000"/>
        </w:rPr>
      </w:pPr>
      <w:r w:rsidRPr="000E4FC7">
        <w:rPr>
          <w:rFonts w:ascii="Times New Roman" w:hAnsi="Times New Roman"/>
          <w:b/>
          <w:color w:val="000000"/>
        </w:rPr>
        <w:t>TỜ TRÌNH</w:t>
      </w:r>
    </w:p>
    <w:p w:rsidR="00E50765" w:rsidRPr="00E50765" w:rsidRDefault="000E4FC7" w:rsidP="00E50765">
      <w:pPr>
        <w:jc w:val="center"/>
        <w:rPr>
          <w:b/>
        </w:rPr>
      </w:pPr>
      <w:r w:rsidRPr="00F47D89">
        <w:rPr>
          <w:b/>
          <w:color w:val="000000"/>
        </w:rPr>
        <w:t xml:space="preserve"> Về việc ban hành Thông tư </w:t>
      </w:r>
      <w:r w:rsidR="002A088D">
        <w:rPr>
          <w:b/>
          <w:color w:val="000000"/>
        </w:rPr>
        <w:t>hướng dẫn</w:t>
      </w:r>
      <w:r w:rsidR="00E50765">
        <w:rPr>
          <w:b/>
        </w:rPr>
        <w:t xml:space="preserve"> thực hiện </w:t>
      </w:r>
      <w:r w:rsidR="00664FC2">
        <w:rPr>
          <w:b/>
        </w:rPr>
        <w:t>bảo hiểm xã hội</w:t>
      </w:r>
      <w:r w:rsidR="00E50765">
        <w:rPr>
          <w:b/>
        </w:rPr>
        <w:t xml:space="preserve"> bắt buộc đối với sĩ quan, hạ sĩ quan, chiến sĩ </w:t>
      </w:r>
      <w:r w:rsidR="00664FC2">
        <w:rPr>
          <w:b/>
        </w:rPr>
        <w:t>Công an nhân dân</w:t>
      </w:r>
    </w:p>
    <w:p w:rsidR="000E4FC7" w:rsidRDefault="00212C70" w:rsidP="00E50765">
      <w:pPr>
        <w:widowControl w:val="0"/>
        <w:jc w:val="center"/>
        <w:rPr>
          <w:b/>
          <w:color w:val="000000"/>
        </w:rPr>
      </w:pPr>
      <w:r>
        <w:rPr>
          <w:b/>
          <w:noProof/>
          <w:color w:val="000000"/>
        </w:rPr>
        <w:pict>
          <v:shapetype id="_x0000_t32" coordsize="21600,21600" o:spt="32" o:oned="t" path="m,l21600,21600e" filled="f">
            <v:path arrowok="t" fillok="f" o:connecttype="none"/>
            <o:lock v:ext="edit" shapetype="t"/>
          </v:shapetype>
          <v:shape id="_x0000_s1062" type="#_x0000_t32" style="position:absolute;left:0;text-align:left;margin-left:173.35pt;margin-top:4.65pt;width:113.55pt;height:0;z-index:251669504" o:connectortype="straight"/>
        </w:pict>
      </w:r>
    </w:p>
    <w:p w:rsidR="000E4FC7" w:rsidRPr="00F47D89" w:rsidRDefault="000E4FC7" w:rsidP="004753CC">
      <w:pPr>
        <w:pStyle w:val="BodyText"/>
        <w:spacing w:before="480"/>
        <w:jc w:val="center"/>
        <w:rPr>
          <w:rFonts w:ascii="Times New Roman" w:hAnsi="Times New Roman"/>
          <w:color w:val="000000"/>
          <w:szCs w:val="28"/>
        </w:rPr>
      </w:pPr>
      <w:r w:rsidRPr="00F47D89">
        <w:rPr>
          <w:rFonts w:ascii="Times New Roman" w:hAnsi="Times New Roman"/>
          <w:color w:val="000000"/>
          <w:szCs w:val="28"/>
        </w:rPr>
        <w:t xml:space="preserve">Kính gửi: Đồng chí </w:t>
      </w:r>
      <w:r w:rsidR="00B0259D">
        <w:rPr>
          <w:rFonts w:ascii="Times New Roman" w:hAnsi="Times New Roman"/>
          <w:color w:val="000000"/>
          <w:szCs w:val="28"/>
        </w:rPr>
        <w:t>Bộ trưởng</w:t>
      </w:r>
      <w:r w:rsidR="00F90443">
        <w:rPr>
          <w:rFonts w:ascii="Times New Roman" w:hAnsi="Times New Roman"/>
          <w:color w:val="000000"/>
          <w:szCs w:val="28"/>
        </w:rPr>
        <w:t xml:space="preserve"> </w:t>
      </w:r>
      <w:r w:rsidR="00E50765">
        <w:rPr>
          <w:rFonts w:ascii="Times New Roman" w:hAnsi="Times New Roman"/>
          <w:color w:val="000000"/>
          <w:szCs w:val="28"/>
        </w:rPr>
        <w:t>Lương Tam Quang</w:t>
      </w:r>
    </w:p>
    <w:p w:rsidR="000E4FC7" w:rsidRPr="00F47D89" w:rsidRDefault="000E4FC7" w:rsidP="000E4FC7">
      <w:pPr>
        <w:widowControl w:val="0"/>
        <w:jc w:val="center"/>
        <w:rPr>
          <w:b/>
          <w:color w:val="000000"/>
        </w:rPr>
      </w:pPr>
    </w:p>
    <w:p w:rsidR="000E4FC7" w:rsidRPr="00761C1A" w:rsidRDefault="00983E06" w:rsidP="00661557">
      <w:pPr>
        <w:spacing w:before="120" w:after="120"/>
        <w:ind w:firstLine="851"/>
        <w:jc w:val="both"/>
      </w:pPr>
      <w:r w:rsidRPr="00761C1A">
        <w:rPr>
          <w:color w:val="000000"/>
        </w:rPr>
        <w:t>Triển khai thi hành</w:t>
      </w:r>
      <w:r w:rsidR="00851F98" w:rsidRPr="00761C1A">
        <w:rPr>
          <w:color w:val="000000"/>
        </w:rPr>
        <w:t xml:space="preserve"> Luật</w:t>
      </w:r>
      <w:r w:rsidR="009A5491" w:rsidRPr="00761C1A">
        <w:rPr>
          <w:color w:val="000000"/>
        </w:rPr>
        <w:t xml:space="preserve"> </w:t>
      </w:r>
      <w:r w:rsidR="00AF6A61">
        <w:rPr>
          <w:color w:val="000000"/>
        </w:rPr>
        <w:t>Bảo hiểm xã hội</w:t>
      </w:r>
      <w:r w:rsidRPr="00761C1A">
        <w:rPr>
          <w:color w:val="000000"/>
        </w:rPr>
        <w:t xml:space="preserve"> số 41/2024/QH15, </w:t>
      </w:r>
      <w:r w:rsidR="00851F98" w:rsidRPr="00761C1A">
        <w:rPr>
          <w:iCs/>
          <w:color w:val="000000"/>
          <w:kern w:val="28"/>
        </w:rPr>
        <w:t>Nghị định</w:t>
      </w:r>
      <w:r w:rsidR="002134B3" w:rsidRPr="00761C1A">
        <w:rPr>
          <w:iCs/>
          <w:color w:val="000000"/>
          <w:kern w:val="28"/>
        </w:rPr>
        <w:t xml:space="preserve"> số </w:t>
      </w:r>
      <w:r w:rsidR="00AF6A61">
        <w:rPr>
          <w:iCs/>
          <w:color w:val="000000"/>
          <w:kern w:val="28"/>
        </w:rPr>
        <w:t>157</w:t>
      </w:r>
      <w:r w:rsidR="002134B3" w:rsidRPr="00761C1A">
        <w:rPr>
          <w:iCs/>
          <w:color w:val="000000"/>
          <w:kern w:val="28"/>
        </w:rPr>
        <w:t>/202</w:t>
      </w:r>
      <w:r w:rsidR="009A5491" w:rsidRPr="00761C1A">
        <w:rPr>
          <w:iCs/>
          <w:color w:val="000000"/>
          <w:kern w:val="28"/>
        </w:rPr>
        <w:t>5</w:t>
      </w:r>
      <w:r w:rsidR="002134B3" w:rsidRPr="00761C1A">
        <w:rPr>
          <w:iCs/>
          <w:color w:val="000000"/>
          <w:kern w:val="28"/>
        </w:rPr>
        <w:t xml:space="preserve">/NĐ-CP ngày </w:t>
      </w:r>
      <w:r w:rsidR="00AF6A61">
        <w:rPr>
          <w:iCs/>
          <w:color w:val="000000"/>
          <w:kern w:val="28"/>
        </w:rPr>
        <w:t>25/6</w:t>
      </w:r>
      <w:r w:rsidR="002134B3" w:rsidRPr="00761C1A">
        <w:rPr>
          <w:iCs/>
          <w:color w:val="000000"/>
          <w:kern w:val="28"/>
        </w:rPr>
        <w:t>/202</w:t>
      </w:r>
      <w:r w:rsidR="00AF6A61">
        <w:rPr>
          <w:iCs/>
          <w:color w:val="000000"/>
          <w:kern w:val="28"/>
        </w:rPr>
        <w:t>5</w:t>
      </w:r>
      <w:r w:rsidR="002134B3" w:rsidRPr="00761C1A">
        <w:rPr>
          <w:iCs/>
          <w:color w:val="000000"/>
          <w:kern w:val="28"/>
        </w:rPr>
        <w:t xml:space="preserve"> của </w:t>
      </w:r>
      <w:r w:rsidR="00F16379" w:rsidRPr="00761C1A">
        <w:rPr>
          <w:iCs/>
          <w:color w:val="000000"/>
          <w:lang w:val="vi-VN"/>
        </w:rPr>
        <w:t>Ch</w:t>
      </w:r>
      <w:r w:rsidR="00F16379" w:rsidRPr="00761C1A">
        <w:rPr>
          <w:iCs/>
          <w:color w:val="000000"/>
        </w:rPr>
        <w:t>í</w:t>
      </w:r>
      <w:r w:rsidR="00F16379" w:rsidRPr="00761C1A">
        <w:rPr>
          <w:iCs/>
          <w:color w:val="000000"/>
          <w:lang w:val="vi-VN"/>
        </w:rPr>
        <w:t>nh phủ q</w:t>
      </w:r>
      <w:r w:rsidR="00F16379" w:rsidRPr="00761C1A">
        <w:rPr>
          <w:iCs/>
          <w:color w:val="000000"/>
        </w:rPr>
        <w:t>u</w:t>
      </w:r>
      <w:r w:rsidR="00F16379" w:rsidRPr="00761C1A">
        <w:rPr>
          <w:iCs/>
          <w:color w:val="000000"/>
          <w:lang w:val="vi-VN"/>
        </w:rPr>
        <w:t>y định ch</w:t>
      </w:r>
      <w:r w:rsidR="00F16379" w:rsidRPr="00761C1A">
        <w:rPr>
          <w:iCs/>
          <w:color w:val="000000"/>
        </w:rPr>
        <w:t xml:space="preserve">i </w:t>
      </w:r>
      <w:r w:rsidR="00F16379" w:rsidRPr="00761C1A">
        <w:rPr>
          <w:iCs/>
          <w:color w:val="000000"/>
          <w:lang w:val="vi-VN"/>
        </w:rPr>
        <w:t xml:space="preserve">tiết và </w:t>
      </w:r>
      <w:r w:rsidR="00F16379" w:rsidRPr="00761C1A">
        <w:rPr>
          <w:iCs/>
          <w:color w:val="000000"/>
        </w:rPr>
        <w:t>biện pháp thi hành</w:t>
      </w:r>
      <w:r w:rsidR="00F16379" w:rsidRPr="00761C1A">
        <w:rPr>
          <w:iCs/>
          <w:color w:val="000000"/>
          <w:lang w:val="vi-VN"/>
        </w:rPr>
        <w:t xml:space="preserve"> một số điều của Luật Bảo hiểm xã hội</w:t>
      </w:r>
      <w:r w:rsidR="00150172">
        <w:rPr>
          <w:iCs/>
          <w:color w:val="000000"/>
        </w:rPr>
        <w:t xml:space="preserve"> </w:t>
      </w:r>
      <w:r w:rsidR="00F16379" w:rsidRPr="00761C1A">
        <w:rPr>
          <w:iCs/>
          <w:color w:val="000000"/>
          <w:lang w:val="vi-VN"/>
        </w:rPr>
        <w:t>v</w:t>
      </w:r>
      <w:r w:rsidR="00F16379" w:rsidRPr="00761C1A">
        <w:rPr>
          <w:iCs/>
          <w:color w:val="000000"/>
        </w:rPr>
        <w:t>ề </w:t>
      </w:r>
      <w:r w:rsidR="00F16379" w:rsidRPr="00761C1A">
        <w:rPr>
          <w:iCs/>
          <w:color w:val="000000"/>
          <w:lang w:val="vi-VN"/>
        </w:rPr>
        <w:t>bảo hiểm xã hội</w:t>
      </w:r>
      <w:r w:rsidR="00A2265F">
        <w:rPr>
          <w:iCs/>
          <w:color w:val="000000"/>
        </w:rPr>
        <w:t xml:space="preserve"> (BHXH)</w:t>
      </w:r>
      <w:r w:rsidR="00F16379" w:rsidRPr="00761C1A">
        <w:rPr>
          <w:iCs/>
          <w:color w:val="000000"/>
          <w:lang w:val="vi-VN"/>
        </w:rPr>
        <w:t xml:space="preserve"> bắt buộc đối với quân nhân, công an nhân dân</w:t>
      </w:r>
      <w:r w:rsidR="00F16379" w:rsidRPr="00761C1A">
        <w:rPr>
          <w:iCs/>
          <w:color w:val="000000"/>
        </w:rPr>
        <w:t xml:space="preserve">, dân quân thường trực </w:t>
      </w:r>
      <w:r w:rsidR="00F16379" w:rsidRPr="00761C1A">
        <w:rPr>
          <w:iCs/>
          <w:color w:val="000000"/>
          <w:lang w:val="vi-VN"/>
        </w:rPr>
        <w:t>và người làm công tác cơ yếu hưởng </w:t>
      </w:r>
      <w:r w:rsidR="00F16379" w:rsidRPr="00761C1A">
        <w:rPr>
          <w:iCs/>
          <w:color w:val="000000"/>
        </w:rPr>
        <w:t>l</w:t>
      </w:r>
      <w:r w:rsidR="00F16379" w:rsidRPr="00761C1A">
        <w:rPr>
          <w:iCs/>
          <w:color w:val="000000"/>
          <w:lang w:val="vi-VN"/>
        </w:rPr>
        <w:t>ương như đối với quân nhân</w:t>
      </w:r>
      <w:r w:rsidRPr="00761C1A">
        <w:rPr>
          <w:iCs/>
          <w:color w:val="000000"/>
          <w:kern w:val="28"/>
        </w:rPr>
        <w:t xml:space="preserve"> và thực hiện chương trình công tác năm 2025,</w:t>
      </w:r>
      <w:r w:rsidR="00013768" w:rsidRPr="00761C1A">
        <w:rPr>
          <w:color w:val="000000"/>
        </w:rPr>
        <w:t xml:space="preserve"> </w:t>
      </w:r>
      <w:r w:rsidR="002E12C7" w:rsidRPr="00761C1A">
        <w:rPr>
          <w:color w:val="000000"/>
        </w:rPr>
        <w:t>X01</w:t>
      </w:r>
      <w:r w:rsidR="000E4FC7" w:rsidRPr="00761C1A">
        <w:rPr>
          <w:color w:val="000000"/>
        </w:rPr>
        <w:t xml:space="preserve"> báo cáo, đề xuất ban hành Thông tư của Bộ trưởng Bộ Công an </w:t>
      </w:r>
      <w:r w:rsidR="002A088D" w:rsidRPr="00761C1A">
        <w:rPr>
          <w:color w:val="000000"/>
        </w:rPr>
        <w:t>hướng dẫn</w:t>
      </w:r>
      <w:r w:rsidR="00AB0FA6" w:rsidRPr="00761C1A">
        <w:t xml:space="preserve"> thực hiện </w:t>
      </w:r>
      <w:r w:rsidR="00D126D0" w:rsidRPr="00761C1A">
        <w:t>BHXH</w:t>
      </w:r>
      <w:r w:rsidR="00AB0FA6" w:rsidRPr="00761C1A">
        <w:t xml:space="preserve"> bắt buộc đối với sĩ quan, hạ sĩ quan, chiến sĩ </w:t>
      </w:r>
      <w:r w:rsidR="006B3C23" w:rsidRPr="00761C1A">
        <w:t>CAND</w:t>
      </w:r>
      <w:r w:rsidR="000E4FC7" w:rsidRPr="00761C1A">
        <w:rPr>
          <w:color w:val="000000"/>
        </w:rPr>
        <w:t xml:space="preserve">, như sau: </w:t>
      </w:r>
    </w:p>
    <w:p w:rsidR="00EC60A5" w:rsidRDefault="000E4FC7" w:rsidP="00661557">
      <w:pPr>
        <w:pStyle w:val="BodyText"/>
        <w:spacing w:before="120" w:after="120"/>
        <w:ind w:firstLine="851"/>
        <w:rPr>
          <w:rFonts w:ascii="Times New Roman" w:hAnsi="Times New Roman"/>
          <w:b/>
          <w:bCs/>
          <w:color w:val="000000"/>
          <w:szCs w:val="28"/>
        </w:rPr>
      </w:pPr>
      <w:r w:rsidRPr="000E4FC7">
        <w:rPr>
          <w:rFonts w:ascii="Times New Roman" w:hAnsi="Times New Roman"/>
          <w:b/>
          <w:bCs/>
          <w:color w:val="000000"/>
          <w:szCs w:val="28"/>
        </w:rPr>
        <w:t>I. CĂN CỨ VÀ SỰ CẦN THIẾT BAN HÀNH THÔNG TƯ</w:t>
      </w:r>
    </w:p>
    <w:p w:rsidR="00204D94" w:rsidRDefault="00D46391" w:rsidP="00661557">
      <w:pPr>
        <w:tabs>
          <w:tab w:val="left" w:pos="709"/>
        </w:tabs>
        <w:spacing w:before="120" w:after="120"/>
        <w:ind w:firstLine="851"/>
        <w:jc w:val="both"/>
        <w:rPr>
          <w:color w:val="000000"/>
        </w:rPr>
      </w:pPr>
      <w:r>
        <w:rPr>
          <w:bCs/>
        </w:rPr>
        <w:t xml:space="preserve">1. </w:t>
      </w:r>
      <w:r w:rsidR="00EC60A5" w:rsidRPr="00292195">
        <w:rPr>
          <w:bCs/>
        </w:rPr>
        <w:t>Ngày 29</w:t>
      </w:r>
      <w:r w:rsidR="00EC60A5">
        <w:rPr>
          <w:bCs/>
        </w:rPr>
        <w:t>/</w:t>
      </w:r>
      <w:r w:rsidR="00EC60A5" w:rsidRPr="00292195">
        <w:rPr>
          <w:bCs/>
        </w:rPr>
        <w:t>6</w:t>
      </w:r>
      <w:r w:rsidR="00EC60A5">
        <w:rPr>
          <w:bCs/>
        </w:rPr>
        <w:t>/</w:t>
      </w:r>
      <w:r w:rsidR="00EC60A5" w:rsidRPr="00292195">
        <w:rPr>
          <w:bCs/>
        </w:rPr>
        <w:t xml:space="preserve">2024, tại Kỳ họp thứ 7, Quốc hội đã thông qua Luật </w:t>
      </w:r>
      <w:r w:rsidR="00D126D0">
        <w:rPr>
          <w:bCs/>
        </w:rPr>
        <w:t>BHXH</w:t>
      </w:r>
      <w:r w:rsidR="00EC60A5" w:rsidRPr="00292195">
        <w:rPr>
          <w:bCs/>
        </w:rPr>
        <w:t xml:space="preserve"> số 41/2024/QH15</w:t>
      </w:r>
      <w:r w:rsidR="00EC60A5">
        <w:rPr>
          <w:bCs/>
        </w:rPr>
        <w:t xml:space="preserve"> (</w:t>
      </w:r>
      <w:r w:rsidR="00EC60A5">
        <w:t xml:space="preserve">Luật BHXH </w:t>
      </w:r>
      <w:r w:rsidR="00204D94">
        <w:t>năm 2024</w:t>
      </w:r>
      <w:r w:rsidR="00EC60A5">
        <w:rPr>
          <w:bCs/>
        </w:rPr>
        <w:t xml:space="preserve">) và </w:t>
      </w:r>
      <w:r w:rsidR="00EC60A5" w:rsidRPr="00292195">
        <w:rPr>
          <w:bCs/>
        </w:rPr>
        <w:t>có hiệu lực thi hành từ ngày 01</w:t>
      </w:r>
      <w:r w:rsidR="00EC60A5">
        <w:rPr>
          <w:bCs/>
        </w:rPr>
        <w:t>/</w:t>
      </w:r>
      <w:r w:rsidR="00EC60A5" w:rsidRPr="00292195">
        <w:rPr>
          <w:bCs/>
        </w:rPr>
        <w:t>7</w:t>
      </w:r>
      <w:r w:rsidR="00EC60A5">
        <w:rPr>
          <w:bCs/>
        </w:rPr>
        <w:t>/</w:t>
      </w:r>
      <w:r w:rsidR="00EC60A5" w:rsidRPr="00292195">
        <w:rPr>
          <w:bCs/>
        </w:rPr>
        <w:t>2025.</w:t>
      </w:r>
      <w:r w:rsidR="00EC60A5">
        <w:rPr>
          <w:bCs/>
        </w:rPr>
        <w:t xml:space="preserve"> </w:t>
      </w:r>
      <w:r w:rsidR="00EC60A5" w:rsidRPr="00292195">
        <w:rPr>
          <w:bCs/>
        </w:rPr>
        <w:t xml:space="preserve">Luật </w:t>
      </w:r>
      <w:r w:rsidR="00EC60A5">
        <w:rPr>
          <w:bCs/>
        </w:rPr>
        <w:t>BHXH</w:t>
      </w:r>
      <w:r w:rsidR="00EC60A5" w:rsidRPr="00292195">
        <w:rPr>
          <w:bCs/>
        </w:rPr>
        <w:t xml:space="preserve"> </w:t>
      </w:r>
      <w:r w:rsidR="00204D94">
        <w:rPr>
          <w:bCs/>
        </w:rPr>
        <w:t>năm 2024</w:t>
      </w:r>
      <w:r w:rsidR="00EC60A5">
        <w:rPr>
          <w:bCs/>
        </w:rPr>
        <w:t xml:space="preserve"> được xây dựng nhằm b</w:t>
      </w:r>
      <w:r w:rsidR="00EC60A5" w:rsidRPr="00F350CC">
        <w:rPr>
          <w:color w:val="000000"/>
          <w:lang w:val="vi-VN"/>
        </w:rPr>
        <w:t xml:space="preserve">ảo đảm an sinh xã hội theo quy định của Hiến pháp và thể chế hóa các </w:t>
      </w:r>
      <w:r w:rsidR="00EC60A5">
        <w:rPr>
          <w:color w:val="000000"/>
        </w:rPr>
        <w:t xml:space="preserve">quan điểm, định hướng, </w:t>
      </w:r>
      <w:r w:rsidR="00EC60A5" w:rsidRPr="00F350CC">
        <w:rPr>
          <w:color w:val="000000"/>
          <w:lang w:val="vi-VN"/>
        </w:rPr>
        <w:t xml:space="preserve">nội dung </w:t>
      </w:r>
      <w:r w:rsidR="00EC60A5">
        <w:rPr>
          <w:color w:val="000000"/>
        </w:rPr>
        <w:t xml:space="preserve">cải cách </w:t>
      </w:r>
      <w:r w:rsidR="00EC60A5" w:rsidRPr="00F350CC">
        <w:rPr>
          <w:color w:val="000000"/>
          <w:lang w:val="vi-VN"/>
        </w:rPr>
        <w:t xml:space="preserve">trong </w:t>
      </w:r>
      <w:r w:rsidR="00EC60A5">
        <w:rPr>
          <w:color w:val="000000"/>
        </w:rPr>
        <w:t xml:space="preserve">các văn kiện, nghị quyết của Đảng và Nhà nước; phát triển hệ thống </w:t>
      </w:r>
      <w:r w:rsidR="00D126D0">
        <w:rPr>
          <w:color w:val="000000"/>
        </w:rPr>
        <w:t>BHXH</w:t>
      </w:r>
      <w:r w:rsidR="00EC60A5">
        <w:rPr>
          <w:color w:val="000000"/>
        </w:rPr>
        <w:t xml:space="preserve"> </w:t>
      </w:r>
      <w:r w:rsidR="00EC60A5" w:rsidRPr="00F350CC">
        <w:rPr>
          <w:color w:val="000000"/>
          <w:lang w:val="vi-VN"/>
        </w:rPr>
        <w:t>theo hướng đa dạng, linh hoạt, đa tầng</w:t>
      </w:r>
      <w:r w:rsidR="00EC60A5" w:rsidRPr="00F350CC">
        <w:rPr>
          <w:color w:val="000000"/>
          <w:lang w:val="pt-BR"/>
        </w:rPr>
        <w:t>,</w:t>
      </w:r>
      <w:r w:rsidR="00EC60A5" w:rsidRPr="00F350CC">
        <w:rPr>
          <w:color w:val="000000"/>
          <w:lang w:val="vi-VN"/>
        </w:rPr>
        <w:t xml:space="preserve"> hiện đại, hội nhập quốc tế, tiến tới bao phủ BHXH </w:t>
      </w:r>
      <w:r w:rsidR="00EC60A5">
        <w:rPr>
          <w:color w:val="000000"/>
        </w:rPr>
        <w:t xml:space="preserve">đối với </w:t>
      </w:r>
      <w:r w:rsidR="00EC60A5" w:rsidRPr="00F350CC">
        <w:rPr>
          <w:color w:val="000000"/>
          <w:lang w:val="vi-VN"/>
        </w:rPr>
        <w:t>toàn bộ l</w:t>
      </w:r>
      <w:r w:rsidR="00EC60A5" w:rsidRPr="00F350CC">
        <w:rPr>
          <w:color w:val="000000"/>
          <w:lang w:val="pt-BR"/>
        </w:rPr>
        <w:t>ự</w:t>
      </w:r>
      <w:r w:rsidR="00EC60A5" w:rsidRPr="00F350CC">
        <w:rPr>
          <w:color w:val="000000"/>
          <w:lang w:val="vi-VN"/>
        </w:rPr>
        <w:t>c lượng lao động</w:t>
      </w:r>
      <w:r w:rsidR="00EC60A5">
        <w:rPr>
          <w:color w:val="000000"/>
        </w:rPr>
        <w:t>; s</w:t>
      </w:r>
      <w:r w:rsidR="00EC60A5" w:rsidRPr="00F350CC">
        <w:rPr>
          <w:color w:val="000000"/>
          <w:lang w:val="vi-VN"/>
        </w:rPr>
        <w:t>ửa đổi căn bản các vướng mắc, bất cập từ thực tiễn</w:t>
      </w:r>
      <w:r w:rsidR="00EC60A5">
        <w:rPr>
          <w:color w:val="000000"/>
        </w:rPr>
        <w:t>;</w:t>
      </w:r>
      <w:r w:rsidR="00EC60A5" w:rsidRPr="00F350CC">
        <w:rPr>
          <w:color w:val="000000"/>
          <w:lang w:val="vi-VN"/>
        </w:rPr>
        <w:t xml:space="preserve"> bảo đảm tính hợp hiến, hợp pháp, tính đồng bộ, thống nhất, có tính khả thi, phù hợp tiêu chuẩn quốc tế</w:t>
      </w:r>
      <w:r w:rsidR="00EC60A5">
        <w:rPr>
          <w:color w:val="000000"/>
        </w:rPr>
        <w:t>; m</w:t>
      </w:r>
      <w:r w:rsidR="00EC60A5" w:rsidRPr="00F350CC">
        <w:rPr>
          <w:color w:val="000000"/>
          <w:lang w:val="vi-VN"/>
        </w:rPr>
        <w:t>ở rộng, gia tăng quyền, lợi ích, tạo sự hấp dẫn để thu hút người lao động tham gia BHXH; đồng thời, bảo đảm tốt nhất quyền lợi cho người lao động đang làm việc và người hưởng lương hưu.</w:t>
      </w:r>
      <w:r w:rsidR="00EC60A5">
        <w:rPr>
          <w:color w:val="000000"/>
        </w:rPr>
        <w:t xml:space="preserve"> </w:t>
      </w:r>
    </w:p>
    <w:p w:rsidR="006638E7" w:rsidRPr="00BF5AD5" w:rsidRDefault="00EC60A5" w:rsidP="00661557">
      <w:pPr>
        <w:tabs>
          <w:tab w:val="left" w:pos="709"/>
        </w:tabs>
        <w:spacing w:before="120" w:after="120"/>
        <w:ind w:firstLine="851"/>
        <w:jc w:val="both"/>
        <w:rPr>
          <w:iCs/>
          <w:color w:val="000000"/>
          <w:spacing w:val="-2"/>
          <w:kern w:val="28"/>
        </w:rPr>
      </w:pPr>
      <w:r w:rsidRPr="00BF5AD5">
        <w:rPr>
          <w:bCs/>
          <w:spacing w:val="-2"/>
        </w:rPr>
        <w:t xml:space="preserve">2. Thi hành Luật </w:t>
      </w:r>
      <w:r w:rsidR="00204D94" w:rsidRPr="00BF5AD5">
        <w:rPr>
          <w:bCs/>
          <w:spacing w:val="-2"/>
        </w:rPr>
        <w:t>BHXH</w:t>
      </w:r>
      <w:r w:rsidRPr="00BF5AD5">
        <w:rPr>
          <w:bCs/>
          <w:spacing w:val="-2"/>
        </w:rPr>
        <w:t xml:space="preserve"> năm 2024, Chính phủ ban hành Nghị định số </w:t>
      </w:r>
      <w:r w:rsidR="00810F20" w:rsidRPr="00BF5AD5">
        <w:rPr>
          <w:bCs/>
          <w:spacing w:val="-2"/>
        </w:rPr>
        <w:t>157</w:t>
      </w:r>
      <w:r w:rsidRPr="00BF5AD5">
        <w:rPr>
          <w:bCs/>
          <w:spacing w:val="-2"/>
        </w:rPr>
        <w:t xml:space="preserve">/NĐ-CP ngày </w:t>
      </w:r>
      <w:r w:rsidR="00810F20" w:rsidRPr="00BF5AD5">
        <w:rPr>
          <w:bCs/>
          <w:spacing w:val="-2"/>
        </w:rPr>
        <w:t>25/</w:t>
      </w:r>
      <w:r w:rsidR="005F2BF5" w:rsidRPr="00BF5AD5">
        <w:rPr>
          <w:bCs/>
          <w:spacing w:val="-2"/>
        </w:rPr>
        <w:t>6</w:t>
      </w:r>
      <w:r w:rsidRPr="00BF5AD5">
        <w:rPr>
          <w:bCs/>
          <w:spacing w:val="-2"/>
        </w:rPr>
        <w:t>/2025</w:t>
      </w:r>
      <w:r w:rsidR="00C4112D" w:rsidRPr="00BF5AD5">
        <w:rPr>
          <w:bCs/>
          <w:spacing w:val="-2"/>
        </w:rPr>
        <w:t xml:space="preserve"> </w:t>
      </w:r>
      <w:r w:rsidR="00F16379" w:rsidRPr="00BF5AD5">
        <w:rPr>
          <w:iCs/>
          <w:color w:val="000000"/>
          <w:spacing w:val="-2"/>
          <w:lang w:val="vi-VN"/>
        </w:rPr>
        <w:t>q</w:t>
      </w:r>
      <w:r w:rsidR="00F16379" w:rsidRPr="00BF5AD5">
        <w:rPr>
          <w:iCs/>
          <w:color w:val="000000"/>
          <w:spacing w:val="-2"/>
        </w:rPr>
        <w:t>u</w:t>
      </w:r>
      <w:r w:rsidR="00F16379" w:rsidRPr="00BF5AD5">
        <w:rPr>
          <w:iCs/>
          <w:color w:val="000000"/>
          <w:spacing w:val="-2"/>
          <w:lang w:val="vi-VN"/>
        </w:rPr>
        <w:t>y định ch</w:t>
      </w:r>
      <w:r w:rsidR="00F16379" w:rsidRPr="00BF5AD5">
        <w:rPr>
          <w:iCs/>
          <w:color w:val="000000"/>
          <w:spacing w:val="-2"/>
        </w:rPr>
        <w:t xml:space="preserve">i </w:t>
      </w:r>
      <w:r w:rsidR="00F16379" w:rsidRPr="00BF5AD5">
        <w:rPr>
          <w:iCs/>
          <w:color w:val="000000"/>
          <w:spacing w:val="-2"/>
          <w:lang w:val="vi-VN"/>
        </w:rPr>
        <w:t xml:space="preserve">tiết và </w:t>
      </w:r>
      <w:r w:rsidR="00F16379" w:rsidRPr="00BF5AD5">
        <w:rPr>
          <w:iCs/>
          <w:color w:val="000000"/>
          <w:spacing w:val="-2"/>
        </w:rPr>
        <w:t>biện pháp thi hành</w:t>
      </w:r>
      <w:r w:rsidR="00F16379" w:rsidRPr="00BF5AD5">
        <w:rPr>
          <w:iCs/>
          <w:color w:val="000000"/>
          <w:spacing w:val="-2"/>
          <w:lang w:val="vi-VN"/>
        </w:rPr>
        <w:t xml:space="preserve"> một số điều của Luật </w:t>
      </w:r>
      <w:r w:rsidR="00A2265F" w:rsidRPr="00BF5AD5">
        <w:rPr>
          <w:iCs/>
          <w:color w:val="000000"/>
          <w:spacing w:val="-2"/>
        </w:rPr>
        <w:t>BHXH</w:t>
      </w:r>
      <w:r w:rsidR="00F16379" w:rsidRPr="00BF5AD5">
        <w:rPr>
          <w:iCs/>
          <w:color w:val="000000"/>
          <w:spacing w:val="-2"/>
          <w:lang w:val="vi-VN"/>
        </w:rPr>
        <w:t xml:space="preserve"> v</w:t>
      </w:r>
      <w:r w:rsidR="00F16379" w:rsidRPr="00BF5AD5">
        <w:rPr>
          <w:iCs/>
          <w:color w:val="000000"/>
          <w:spacing w:val="-2"/>
        </w:rPr>
        <w:t>ề </w:t>
      </w:r>
      <w:r w:rsidR="00A2265F" w:rsidRPr="00BF5AD5">
        <w:rPr>
          <w:iCs/>
          <w:color w:val="000000"/>
          <w:spacing w:val="-2"/>
        </w:rPr>
        <w:t xml:space="preserve">BHXH </w:t>
      </w:r>
      <w:r w:rsidR="00F16379" w:rsidRPr="00BF5AD5">
        <w:rPr>
          <w:iCs/>
          <w:color w:val="000000"/>
          <w:spacing w:val="-2"/>
          <w:lang w:val="vi-VN"/>
        </w:rPr>
        <w:t>bắt buộc đối với quân nhân, công an nhân dân</w:t>
      </w:r>
      <w:r w:rsidR="00F16379" w:rsidRPr="00BF5AD5">
        <w:rPr>
          <w:iCs/>
          <w:color w:val="000000"/>
          <w:spacing w:val="-2"/>
        </w:rPr>
        <w:t xml:space="preserve">, dân quân thường trực </w:t>
      </w:r>
      <w:r w:rsidR="00F16379" w:rsidRPr="00BF5AD5">
        <w:rPr>
          <w:iCs/>
          <w:color w:val="000000"/>
          <w:spacing w:val="-2"/>
          <w:lang w:val="vi-VN"/>
        </w:rPr>
        <w:t>và người làm công tác cơ yếu hưởng </w:t>
      </w:r>
      <w:r w:rsidR="00F16379" w:rsidRPr="00BF5AD5">
        <w:rPr>
          <w:iCs/>
          <w:color w:val="000000"/>
          <w:spacing w:val="-2"/>
        </w:rPr>
        <w:t>l</w:t>
      </w:r>
      <w:r w:rsidR="00F16379" w:rsidRPr="00BF5AD5">
        <w:rPr>
          <w:iCs/>
          <w:color w:val="000000"/>
          <w:spacing w:val="-2"/>
          <w:lang w:val="vi-VN"/>
        </w:rPr>
        <w:t>ương như đối với quân nhân</w:t>
      </w:r>
      <w:r w:rsidR="006638E7" w:rsidRPr="00BF5AD5">
        <w:rPr>
          <w:iCs/>
          <w:color w:val="000000"/>
          <w:spacing w:val="-2"/>
          <w:kern w:val="28"/>
        </w:rPr>
        <w:t xml:space="preserve">, đã hướng dẫn một số nội dung mới của </w:t>
      </w:r>
      <w:r w:rsidR="006638E7" w:rsidRPr="00BF5AD5">
        <w:rPr>
          <w:rFonts w:eastAsia="Arial Unicode MS" w:cs="Arial Unicode MS"/>
          <w:color w:val="000000"/>
          <w:spacing w:val="-2"/>
          <w:lang w:eastAsia="vi-VN"/>
        </w:rPr>
        <w:t xml:space="preserve">Luật </w:t>
      </w:r>
      <w:r w:rsidR="00204D94" w:rsidRPr="00BF5AD5">
        <w:rPr>
          <w:rFonts w:eastAsia="Arial Unicode MS" w:cs="Arial Unicode MS"/>
          <w:color w:val="000000"/>
          <w:spacing w:val="-2"/>
          <w:lang w:eastAsia="vi-VN"/>
        </w:rPr>
        <w:t>BHXH</w:t>
      </w:r>
      <w:r w:rsidR="006638E7" w:rsidRPr="00BF5AD5">
        <w:rPr>
          <w:rFonts w:eastAsia="Arial Unicode MS" w:cs="Arial Unicode MS"/>
          <w:color w:val="000000"/>
          <w:spacing w:val="-2"/>
          <w:lang w:eastAsia="vi-VN"/>
        </w:rPr>
        <w:t xml:space="preserve"> năm 2024 như:</w:t>
      </w:r>
      <w:r w:rsidR="006638E7" w:rsidRPr="00BF5AD5">
        <w:rPr>
          <w:iCs/>
          <w:color w:val="000000"/>
          <w:spacing w:val="-2"/>
          <w:kern w:val="28"/>
        </w:rPr>
        <w:t xml:space="preserve"> </w:t>
      </w:r>
      <w:r w:rsidR="006638E7" w:rsidRPr="00BF5AD5">
        <w:rPr>
          <w:rFonts w:eastAsia="Arial Unicode MS" w:cs="Arial Unicode MS"/>
          <w:color w:val="000000"/>
          <w:spacing w:val="-2"/>
          <w:lang w:eastAsia="vi-VN"/>
        </w:rPr>
        <w:t>Đóng BHXH tối thiểu 15 năm sẽ được hưởng lương hưu; quy định cụ thể về “mức tham chiếu” thay cho mức lương cơ sở; sửa đổi, bổ sung quy định về chế độ BHXH phù hợp hơn với thực tiễn, bảo đảm tốt hơn quyền lợi của người lao động</w:t>
      </w:r>
      <w:r w:rsidR="00BF5AD5" w:rsidRPr="00BF5AD5">
        <w:rPr>
          <w:rFonts w:eastAsia="Arial Unicode MS" w:cs="Arial Unicode MS"/>
          <w:color w:val="000000"/>
          <w:spacing w:val="-2"/>
          <w:lang w:eastAsia="vi-VN"/>
        </w:rPr>
        <w:t>.</w:t>
      </w:r>
    </w:p>
    <w:p w:rsidR="00810F20" w:rsidRPr="005F2BF5" w:rsidRDefault="00FD0D94" w:rsidP="00661557">
      <w:pPr>
        <w:tabs>
          <w:tab w:val="left" w:pos="709"/>
        </w:tabs>
        <w:spacing w:before="120" w:after="120"/>
        <w:ind w:firstLine="851"/>
        <w:jc w:val="both"/>
        <w:rPr>
          <w:i/>
          <w:color w:val="000000"/>
          <w:spacing w:val="-2"/>
        </w:rPr>
      </w:pPr>
      <w:r w:rsidRPr="00FD0D94">
        <w:rPr>
          <w:bCs/>
          <w:color w:val="000000"/>
        </w:rPr>
        <w:lastRenderedPageBreak/>
        <w:t>3</w:t>
      </w:r>
      <w:r>
        <w:rPr>
          <w:bCs/>
          <w:color w:val="000000"/>
        </w:rPr>
        <w:t>.</w:t>
      </w:r>
      <w:r w:rsidRPr="00FD0D94">
        <w:rPr>
          <w:bCs/>
        </w:rPr>
        <w:t xml:space="preserve"> </w:t>
      </w:r>
      <w:r>
        <w:rPr>
          <w:bCs/>
        </w:rPr>
        <w:t>Thi hành Luật BHXH năm 2014</w:t>
      </w:r>
      <w:r w:rsidR="006B3C23">
        <w:rPr>
          <w:bCs/>
        </w:rPr>
        <w:t xml:space="preserve"> và</w:t>
      </w:r>
      <w:r>
        <w:rPr>
          <w:bCs/>
        </w:rPr>
        <w:t xml:space="preserve"> Nghị định số 33/2016/NĐ-CP </w:t>
      </w:r>
      <w:r w:rsidR="006B3C23">
        <w:rPr>
          <w:bCs/>
        </w:rPr>
        <w:t xml:space="preserve">ngày 10/5/2016 của Chính phủ </w:t>
      </w:r>
      <w:r>
        <w:rPr>
          <w:bCs/>
        </w:rPr>
        <w:t>quy định chi tiết và hướng dẫn Luật BHXH về BHXH bắt buộc đối với quân nhân,</w:t>
      </w:r>
      <w:r w:rsidR="006B3C23">
        <w:rPr>
          <w:bCs/>
        </w:rPr>
        <w:t xml:space="preserve"> CAND</w:t>
      </w:r>
      <w:r>
        <w:rPr>
          <w:bCs/>
        </w:rPr>
        <w:t xml:space="preserve"> và người làm cơ yếu hưởng lương như đối với quân nhân, </w:t>
      </w:r>
      <w:r w:rsidR="006B3C23">
        <w:rPr>
          <w:bCs/>
        </w:rPr>
        <w:t>CAND</w:t>
      </w:r>
      <w:r>
        <w:rPr>
          <w:bCs/>
        </w:rPr>
        <w:t xml:space="preserve">; </w:t>
      </w:r>
      <w:r w:rsidR="000F3672" w:rsidRPr="000F3672">
        <w:rPr>
          <w:bCs/>
        </w:rPr>
        <w:t>Bộ trưởng Bộ Quốc phòng, Bộ trưởng Bộ Công</w:t>
      </w:r>
      <w:r w:rsidR="000F3672">
        <w:rPr>
          <w:bCs/>
        </w:rPr>
        <w:t xml:space="preserve"> an, Bộ trưởng Bộ Lao động -Thư</w:t>
      </w:r>
      <w:r w:rsidR="000F3672" w:rsidRPr="000F3672">
        <w:rPr>
          <w:bCs/>
        </w:rPr>
        <w:t>ơng binh và Xã hội</w:t>
      </w:r>
      <w:r w:rsidR="000F3672">
        <w:rPr>
          <w:bCs/>
        </w:rPr>
        <w:t xml:space="preserve"> </w:t>
      </w:r>
      <w:r w:rsidR="006B3C23">
        <w:rPr>
          <w:bCs/>
        </w:rPr>
        <w:t xml:space="preserve">đã </w:t>
      </w:r>
      <w:r w:rsidR="000F3672">
        <w:rPr>
          <w:bCs/>
        </w:rPr>
        <w:t xml:space="preserve">ban hành </w:t>
      </w:r>
      <w:r w:rsidRPr="0070169D">
        <w:rPr>
          <w:color w:val="000000"/>
          <w:spacing w:val="-2"/>
        </w:rPr>
        <w:t xml:space="preserve">Thông tư liên tịch số 105/2016/TTLT-BQP-BCA-BLĐTBXH, ngày 30/6/2016 quy định chi tiết và hướng dẫn thực hiện một số điều của Luật </w:t>
      </w:r>
      <w:r w:rsidR="00D126D0">
        <w:rPr>
          <w:color w:val="000000"/>
          <w:spacing w:val="-2"/>
        </w:rPr>
        <w:t>BHXH</w:t>
      </w:r>
      <w:r w:rsidRPr="0070169D">
        <w:rPr>
          <w:color w:val="000000"/>
          <w:spacing w:val="-2"/>
        </w:rPr>
        <w:t xml:space="preserve"> và Nghị định số 33/2016/NĐ-CP</w:t>
      </w:r>
      <w:r>
        <w:rPr>
          <w:color w:val="000000"/>
          <w:spacing w:val="-2"/>
        </w:rPr>
        <w:t xml:space="preserve">. </w:t>
      </w:r>
      <w:r w:rsidR="00345C2B">
        <w:rPr>
          <w:color w:val="000000"/>
          <w:spacing w:val="-2"/>
        </w:rPr>
        <w:t>Quá trình triển khai thực hiện</w:t>
      </w:r>
      <w:r>
        <w:rPr>
          <w:color w:val="000000"/>
          <w:spacing w:val="-2"/>
        </w:rPr>
        <w:t xml:space="preserve">, quyền lợi của cán bộ, chiến sĩ trong </w:t>
      </w:r>
      <w:r w:rsidR="006B3C23">
        <w:rPr>
          <w:color w:val="000000"/>
          <w:spacing w:val="-2"/>
        </w:rPr>
        <w:t>CAND</w:t>
      </w:r>
      <w:r>
        <w:rPr>
          <w:color w:val="000000"/>
          <w:spacing w:val="-2"/>
        </w:rPr>
        <w:t xml:space="preserve"> cơ bản được đảm bảo; các quy định về chế độ, chính sách (điều kiện và mức hưởng), </w:t>
      </w:r>
      <w:r w:rsidR="005F2BF5">
        <w:rPr>
          <w:color w:val="000000"/>
          <w:spacing w:val="-2"/>
        </w:rPr>
        <w:t>c</w:t>
      </w:r>
      <w:r>
        <w:rPr>
          <w:color w:val="000000"/>
          <w:spacing w:val="-2"/>
        </w:rPr>
        <w:t xml:space="preserve">ông tác quản lý, tổ chức BHXH được thực hiện thuận lợi thống nhất, có hiệu quả. </w:t>
      </w:r>
      <w:r w:rsidR="005F2BF5">
        <w:rPr>
          <w:color w:val="000000"/>
          <w:spacing w:val="-2"/>
        </w:rPr>
        <w:t>Tuy nhiên, t</w:t>
      </w:r>
      <w:r w:rsidR="00810F20">
        <w:rPr>
          <w:color w:val="000000"/>
          <w:spacing w:val="-2"/>
        </w:rPr>
        <w:t>heo quy định tại điểm b khoản 3 Điều 20 Nghị định số 157/2025/NĐ-CP</w:t>
      </w:r>
      <w:r w:rsidR="00810F20" w:rsidRPr="005F2BF5">
        <w:rPr>
          <w:i/>
          <w:color w:val="000000"/>
          <w:spacing w:val="-2"/>
        </w:rPr>
        <w:t xml:space="preserve">: Thông tư liên tịch số 105/2016/TTLT-BQP-BCA-BLĐTBXH hết </w:t>
      </w:r>
      <w:r w:rsidR="005F2BF5">
        <w:rPr>
          <w:i/>
          <w:color w:val="000000"/>
          <w:spacing w:val="-2"/>
        </w:rPr>
        <w:t xml:space="preserve">hiệu lực thi hành </w:t>
      </w:r>
      <w:r w:rsidR="005F2BF5" w:rsidRPr="005F2BF5">
        <w:rPr>
          <w:b/>
          <w:i/>
          <w:color w:val="000000"/>
          <w:spacing w:val="-2"/>
        </w:rPr>
        <w:t>kể từ ngày 01/</w:t>
      </w:r>
      <w:r w:rsidR="00810F20" w:rsidRPr="005F2BF5">
        <w:rPr>
          <w:b/>
          <w:i/>
          <w:color w:val="000000"/>
          <w:spacing w:val="-2"/>
        </w:rPr>
        <w:t>7</w:t>
      </w:r>
      <w:r w:rsidR="005F2BF5" w:rsidRPr="005F2BF5">
        <w:rPr>
          <w:b/>
          <w:i/>
          <w:color w:val="000000"/>
          <w:spacing w:val="-2"/>
        </w:rPr>
        <w:t>/</w:t>
      </w:r>
      <w:r w:rsidR="00810F20" w:rsidRPr="005F2BF5">
        <w:rPr>
          <w:b/>
          <w:i/>
          <w:color w:val="000000"/>
          <w:spacing w:val="-2"/>
        </w:rPr>
        <w:t>2025.</w:t>
      </w:r>
    </w:p>
    <w:p w:rsidR="002A088D" w:rsidRPr="006638E7" w:rsidRDefault="00810F20" w:rsidP="00661557">
      <w:pPr>
        <w:tabs>
          <w:tab w:val="left" w:pos="709"/>
        </w:tabs>
        <w:spacing w:before="120" w:after="120"/>
        <w:ind w:firstLine="851"/>
        <w:jc w:val="both"/>
        <w:rPr>
          <w:iCs/>
          <w:color w:val="000000"/>
          <w:spacing w:val="-2"/>
          <w:kern w:val="28"/>
        </w:rPr>
      </w:pPr>
      <w:r>
        <w:rPr>
          <w:color w:val="000000"/>
          <w:spacing w:val="-2"/>
        </w:rPr>
        <w:t>4. K</w:t>
      </w:r>
      <w:r w:rsidR="002A088D">
        <w:rPr>
          <w:rFonts w:eastAsia="Arial Unicode MS" w:cs="Arial Unicode MS"/>
          <w:color w:val="000000"/>
          <w:spacing w:val="4"/>
          <w:lang w:eastAsia="vi-VN"/>
        </w:rPr>
        <w:t xml:space="preserve">hoản 1 Điều </w:t>
      </w:r>
      <w:r w:rsidR="00F16379">
        <w:rPr>
          <w:rFonts w:eastAsia="Arial Unicode MS" w:cs="Arial Unicode MS"/>
          <w:color w:val="000000"/>
          <w:spacing w:val="4"/>
          <w:lang w:eastAsia="vi-VN"/>
        </w:rPr>
        <w:t>21</w:t>
      </w:r>
      <w:r w:rsidR="002A088D">
        <w:rPr>
          <w:rFonts w:eastAsia="Arial Unicode MS" w:cs="Arial Unicode MS"/>
          <w:color w:val="000000"/>
          <w:spacing w:val="4"/>
          <w:lang w:eastAsia="vi-VN"/>
        </w:rPr>
        <w:t xml:space="preserve"> Nghị định số </w:t>
      </w:r>
      <w:r>
        <w:rPr>
          <w:rFonts w:eastAsia="Arial Unicode MS" w:cs="Arial Unicode MS"/>
          <w:color w:val="000000"/>
          <w:spacing w:val="4"/>
          <w:lang w:eastAsia="vi-VN"/>
        </w:rPr>
        <w:t>157</w:t>
      </w:r>
      <w:r w:rsidR="002A088D">
        <w:rPr>
          <w:rFonts w:eastAsia="Arial Unicode MS" w:cs="Arial Unicode MS"/>
          <w:color w:val="000000"/>
          <w:spacing w:val="4"/>
          <w:lang w:eastAsia="vi-VN"/>
        </w:rPr>
        <w:t>/2025/NĐ-CP</w:t>
      </w:r>
      <w:r>
        <w:rPr>
          <w:rFonts w:eastAsia="Arial Unicode MS" w:cs="Arial Unicode MS"/>
          <w:color w:val="000000"/>
          <w:spacing w:val="4"/>
          <w:lang w:eastAsia="vi-VN"/>
        </w:rPr>
        <w:t>,</w:t>
      </w:r>
      <w:r w:rsidR="002A088D">
        <w:rPr>
          <w:rFonts w:eastAsia="Arial Unicode MS" w:cs="Arial Unicode MS"/>
          <w:color w:val="000000"/>
          <w:spacing w:val="4"/>
          <w:lang w:eastAsia="vi-VN"/>
        </w:rPr>
        <w:t xml:space="preserve"> quy định: </w:t>
      </w:r>
      <w:r w:rsidR="002A088D" w:rsidRPr="002A088D">
        <w:rPr>
          <w:rFonts w:eastAsia="Arial Unicode MS" w:cs="Arial Unicode MS"/>
          <w:i/>
          <w:color w:val="000000"/>
          <w:spacing w:val="4"/>
          <w:lang w:eastAsia="vi-VN"/>
        </w:rPr>
        <w:t>Bộ Công an căn cứ quy định tại Nghị định này</w:t>
      </w:r>
      <w:r>
        <w:rPr>
          <w:rFonts w:eastAsia="Arial Unicode MS" w:cs="Arial Unicode MS"/>
          <w:i/>
          <w:color w:val="000000"/>
          <w:spacing w:val="4"/>
          <w:lang w:eastAsia="vi-VN"/>
        </w:rPr>
        <w:t>,</w:t>
      </w:r>
      <w:r w:rsidR="002A088D" w:rsidRPr="002A088D">
        <w:rPr>
          <w:rFonts w:eastAsia="Arial Unicode MS" w:cs="Arial Unicode MS"/>
          <w:i/>
          <w:color w:val="000000"/>
          <w:spacing w:val="4"/>
          <w:lang w:eastAsia="vi-VN"/>
        </w:rPr>
        <w:t xml:space="preserve"> hướng dẫn các cơ quan, đơn vị thuộc phạm vi quản lý thực hiện các chế độ về BHXH.</w:t>
      </w:r>
    </w:p>
    <w:p w:rsidR="00115B6F" w:rsidRPr="00F16379" w:rsidRDefault="0002350E" w:rsidP="00661557">
      <w:pPr>
        <w:tabs>
          <w:tab w:val="left" w:pos="709"/>
        </w:tabs>
        <w:spacing w:before="120" w:after="120"/>
        <w:ind w:firstLine="851"/>
        <w:jc w:val="both"/>
        <w:rPr>
          <w:color w:val="000000"/>
        </w:rPr>
      </w:pPr>
      <w:r w:rsidRPr="00F16379">
        <w:rPr>
          <w:bCs/>
          <w:color w:val="000000"/>
        </w:rPr>
        <w:t>Với những lý do nêu trên,</w:t>
      </w:r>
      <w:r w:rsidR="00A4556E" w:rsidRPr="00F16379">
        <w:rPr>
          <w:bCs/>
          <w:color w:val="000000"/>
        </w:rPr>
        <w:t xml:space="preserve"> </w:t>
      </w:r>
      <w:r w:rsidR="00810F20">
        <w:rPr>
          <w:bCs/>
          <w:color w:val="000000"/>
        </w:rPr>
        <w:t>c</w:t>
      </w:r>
      <w:r w:rsidR="00C072B3" w:rsidRPr="00F16379">
        <w:rPr>
          <w:bCs/>
          <w:color w:val="000000"/>
        </w:rPr>
        <w:t>ăn cứ Luật Ban hàn</w:t>
      </w:r>
      <w:r w:rsidR="008C621C" w:rsidRPr="00F16379">
        <w:rPr>
          <w:bCs/>
          <w:color w:val="000000"/>
        </w:rPr>
        <w:t>h văn bản quy phạm pháp luật</w:t>
      </w:r>
      <w:r w:rsidR="00EF0D20">
        <w:rPr>
          <w:bCs/>
          <w:color w:val="000000"/>
        </w:rPr>
        <w:t xml:space="preserve">, </w:t>
      </w:r>
      <w:r w:rsidR="00EF0D20" w:rsidRPr="00B97FA2">
        <w:rPr>
          <w:spacing w:val="-2"/>
        </w:rPr>
        <w:t xml:space="preserve">Nghị </w:t>
      </w:r>
      <w:r w:rsidR="00EF0D20" w:rsidRPr="00B97FA2">
        <w:rPr>
          <w:rFonts w:hint="eastAsia"/>
          <w:spacing w:val="-2"/>
        </w:rPr>
        <w:t>đ</w:t>
      </w:r>
      <w:r w:rsidR="00EF0D20" w:rsidRPr="00B97FA2">
        <w:rPr>
          <w:spacing w:val="-2"/>
        </w:rPr>
        <w:t>ịnh số 78/2025/N</w:t>
      </w:r>
      <w:r w:rsidR="00EF0D20" w:rsidRPr="00B97FA2">
        <w:rPr>
          <w:rFonts w:hint="eastAsia"/>
          <w:spacing w:val="-2"/>
        </w:rPr>
        <w:t>Đ</w:t>
      </w:r>
      <w:r w:rsidR="00EF0D20" w:rsidRPr="00B97FA2">
        <w:rPr>
          <w:spacing w:val="-2"/>
        </w:rPr>
        <w:t xml:space="preserve">-CP ngày 01/4/2025 của Chính phủ quy </w:t>
      </w:r>
      <w:r w:rsidR="00EF0D20" w:rsidRPr="00B97FA2">
        <w:rPr>
          <w:rFonts w:hint="eastAsia"/>
          <w:spacing w:val="-2"/>
        </w:rPr>
        <w:t>đ</w:t>
      </w:r>
      <w:r w:rsidR="00EF0D20" w:rsidRPr="00B97FA2">
        <w:rPr>
          <w:spacing w:val="-2"/>
        </w:rPr>
        <w:t xml:space="preserve">ịnh chi tiết một số </w:t>
      </w:r>
      <w:r w:rsidR="00EF0D20" w:rsidRPr="00B97FA2">
        <w:rPr>
          <w:rFonts w:hint="eastAsia"/>
          <w:spacing w:val="-2"/>
        </w:rPr>
        <w:t>đ</w:t>
      </w:r>
      <w:r w:rsidR="00EF0D20" w:rsidRPr="00B97FA2">
        <w:rPr>
          <w:spacing w:val="-2"/>
        </w:rPr>
        <w:t xml:space="preserve">iều và biện pháp </w:t>
      </w:r>
      <w:r w:rsidR="00EF0D20" w:rsidRPr="00B97FA2">
        <w:rPr>
          <w:rFonts w:hint="eastAsia"/>
          <w:spacing w:val="-2"/>
        </w:rPr>
        <w:t>đ</w:t>
      </w:r>
      <w:r w:rsidR="00EF0D20" w:rsidRPr="00B97FA2">
        <w:rPr>
          <w:spacing w:val="-2"/>
        </w:rPr>
        <w:t>ể tổ chức, h</w:t>
      </w:r>
      <w:r w:rsidR="00EF0D20" w:rsidRPr="00B97FA2">
        <w:rPr>
          <w:rFonts w:hint="eastAsia"/>
          <w:spacing w:val="-2"/>
        </w:rPr>
        <w:t>ư</w:t>
      </w:r>
      <w:r w:rsidR="00EF0D20" w:rsidRPr="00B97FA2">
        <w:rPr>
          <w:spacing w:val="-2"/>
        </w:rPr>
        <w:t>ớng dẫn thi hành Luật Ban hành v</w:t>
      </w:r>
      <w:r w:rsidR="00EF0D20" w:rsidRPr="00B97FA2">
        <w:rPr>
          <w:rFonts w:hint="eastAsia"/>
          <w:spacing w:val="-2"/>
        </w:rPr>
        <w:t>ă</w:t>
      </w:r>
      <w:r w:rsidR="00EF0D20" w:rsidRPr="00B97FA2">
        <w:rPr>
          <w:spacing w:val="-2"/>
        </w:rPr>
        <w:t>n bản quy phạm pháp luật</w:t>
      </w:r>
      <w:r w:rsidR="008C621C" w:rsidRPr="00F16379">
        <w:rPr>
          <w:bCs/>
          <w:color w:val="000000"/>
        </w:rPr>
        <w:t xml:space="preserve"> và </w:t>
      </w:r>
      <w:r w:rsidR="000D0207" w:rsidRPr="00F16379">
        <w:rPr>
          <w:bCs/>
          <w:color w:val="000000"/>
        </w:rPr>
        <w:t xml:space="preserve">Thông tư số 111/2021/TT-BCA, </w:t>
      </w:r>
      <w:r w:rsidR="0048171D" w:rsidRPr="00F16379">
        <w:rPr>
          <w:bCs/>
          <w:color w:val="000000"/>
        </w:rPr>
        <w:t xml:space="preserve">ngày 15/11/2021 của Bộ </w:t>
      </w:r>
      <w:r w:rsidR="00DF738E" w:rsidRPr="00F16379">
        <w:rPr>
          <w:bCs/>
          <w:color w:val="000000"/>
        </w:rPr>
        <w:t>t</w:t>
      </w:r>
      <w:r w:rsidR="0048171D" w:rsidRPr="00F16379">
        <w:rPr>
          <w:bCs/>
          <w:color w:val="000000"/>
        </w:rPr>
        <w:t xml:space="preserve">rưởng Bộ Công an quy định về xây dựng, ban hành; kiểm tra, xử lý; rà soát, hệ thống hóa; hợp nhất văn bản quy phạm pháp luật và pháp điển hệ thống quy phạm pháp luật trong </w:t>
      </w:r>
      <w:r w:rsidR="0072070E" w:rsidRPr="00F16379">
        <w:rPr>
          <w:bCs/>
          <w:color w:val="000000"/>
        </w:rPr>
        <w:t>CAND</w:t>
      </w:r>
      <w:r w:rsidR="0048171D" w:rsidRPr="00F16379">
        <w:rPr>
          <w:bCs/>
          <w:color w:val="000000"/>
        </w:rPr>
        <w:t xml:space="preserve">, </w:t>
      </w:r>
      <w:r w:rsidR="00A4556E" w:rsidRPr="00F16379">
        <w:rPr>
          <w:color w:val="000000"/>
        </w:rPr>
        <w:t>việc</w:t>
      </w:r>
      <w:r w:rsidR="00C072B3" w:rsidRPr="00F16379">
        <w:rPr>
          <w:color w:val="000000"/>
        </w:rPr>
        <w:t xml:space="preserve"> ban hành </w:t>
      </w:r>
      <w:r w:rsidR="00D46391" w:rsidRPr="00F16379">
        <w:rPr>
          <w:color w:val="000000"/>
          <w:spacing w:val="-2"/>
        </w:rPr>
        <w:t xml:space="preserve">Thông tư của Bộ trưởng Bộ Công an </w:t>
      </w:r>
      <w:r w:rsidR="002A088D" w:rsidRPr="00F16379">
        <w:rPr>
          <w:color w:val="000000"/>
          <w:spacing w:val="-2"/>
        </w:rPr>
        <w:t>hướng dẫn</w:t>
      </w:r>
      <w:r w:rsidR="00D46391" w:rsidRPr="00F16379">
        <w:t xml:space="preserve"> thực hiện </w:t>
      </w:r>
      <w:r w:rsidR="002A088D" w:rsidRPr="00F16379">
        <w:t>BHXH</w:t>
      </w:r>
      <w:r w:rsidR="00D46391" w:rsidRPr="00F16379">
        <w:t xml:space="preserve"> bắt buộc đối với sĩ quan, hạ sĩ quan, chiến sĩ </w:t>
      </w:r>
      <w:r w:rsidR="006B3C23" w:rsidRPr="00F16379">
        <w:t>CAND</w:t>
      </w:r>
      <w:r w:rsidR="002A088D" w:rsidRPr="00F16379">
        <w:t xml:space="preserve"> </w:t>
      </w:r>
      <w:r w:rsidR="00232B31" w:rsidRPr="00F16379">
        <w:rPr>
          <w:color w:val="000000"/>
        </w:rPr>
        <w:t xml:space="preserve">là </w:t>
      </w:r>
      <w:r w:rsidR="00EF0D20">
        <w:rPr>
          <w:color w:val="000000"/>
        </w:rPr>
        <w:t>có cơ sở</w:t>
      </w:r>
      <w:r w:rsidR="00C62E5C">
        <w:rPr>
          <w:color w:val="000000"/>
        </w:rPr>
        <w:t xml:space="preserve"> và</w:t>
      </w:r>
      <w:r w:rsidR="00C62E5C" w:rsidRPr="00C62E5C">
        <w:rPr>
          <w:color w:val="000000"/>
        </w:rPr>
        <w:t xml:space="preserve"> </w:t>
      </w:r>
      <w:r w:rsidR="00C62E5C" w:rsidRPr="00F16379">
        <w:rPr>
          <w:color w:val="000000"/>
        </w:rPr>
        <w:t>cần thiết</w:t>
      </w:r>
      <w:r w:rsidR="00C62E5C">
        <w:rPr>
          <w:color w:val="000000"/>
        </w:rPr>
        <w:t>.</w:t>
      </w:r>
    </w:p>
    <w:p w:rsidR="00115B6F" w:rsidRPr="00F16379" w:rsidRDefault="00050FF1" w:rsidP="00661557">
      <w:pPr>
        <w:pStyle w:val="BodyText"/>
        <w:spacing w:before="120" w:after="120"/>
        <w:ind w:firstLine="851"/>
        <w:rPr>
          <w:rFonts w:ascii="Times New Roman" w:hAnsi="Times New Roman"/>
          <w:color w:val="000000"/>
          <w:spacing w:val="-6"/>
        </w:rPr>
      </w:pPr>
      <w:r w:rsidRPr="00F16379">
        <w:rPr>
          <w:rFonts w:ascii="Times New Roman" w:hAnsi="Times New Roman"/>
          <w:b/>
          <w:color w:val="000000"/>
          <w:spacing w:val="-6"/>
        </w:rPr>
        <w:t>II. MỤC ĐÍCH</w:t>
      </w:r>
      <w:r w:rsidR="00F16379" w:rsidRPr="00F16379">
        <w:rPr>
          <w:rFonts w:ascii="Times New Roman" w:hAnsi="Times New Roman"/>
          <w:b/>
          <w:color w:val="000000"/>
          <w:spacing w:val="-6"/>
        </w:rPr>
        <w:t xml:space="preserve"> BAN HÀNH</w:t>
      </w:r>
      <w:r w:rsidRPr="00F16379">
        <w:rPr>
          <w:rFonts w:ascii="Times New Roman" w:hAnsi="Times New Roman"/>
          <w:b/>
          <w:color w:val="000000"/>
          <w:spacing w:val="-6"/>
        </w:rPr>
        <w:t>, QUAN ĐIỂM XÂY DỰNG THÔNG TƯ</w:t>
      </w:r>
    </w:p>
    <w:p w:rsidR="00050FF1" w:rsidRDefault="00050FF1" w:rsidP="00661557">
      <w:pPr>
        <w:pStyle w:val="BodyText"/>
        <w:spacing w:before="120" w:after="120"/>
        <w:ind w:firstLine="851"/>
        <w:rPr>
          <w:rFonts w:ascii="Times New Roman" w:hAnsi="Times New Roman"/>
          <w:b/>
          <w:color w:val="000000"/>
        </w:rPr>
      </w:pPr>
      <w:r w:rsidRPr="00050FF1">
        <w:rPr>
          <w:rFonts w:ascii="Times New Roman" w:hAnsi="Times New Roman"/>
          <w:b/>
          <w:color w:val="000000"/>
        </w:rPr>
        <w:t>1. Mục đích</w:t>
      </w:r>
      <w:r w:rsidR="00F16379">
        <w:rPr>
          <w:rFonts w:ascii="Times New Roman" w:hAnsi="Times New Roman"/>
          <w:b/>
          <w:color w:val="000000"/>
        </w:rPr>
        <w:t xml:space="preserve"> ban hành</w:t>
      </w:r>
    </w:p>
    <w:p w:rsidR="004753CC" w:rsidRDefault="005F2BF5"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bCs/>
        </w:rPr>
      </w:pPr>
      <w:r>
        <w:t>N</w:t>
      </w:r>
      <w:r w:rsidR="00D46391">
        <w:t>hằm hoàn thiện cơ sở pháp lý</w:t>
      </w:r>
      <w:r>
        <w:t xml:space="preserve"> trong</w:t>
      </w:r>
      <w:r w:rsidR="00D46391">
        <w:t xml:space="preserve"> tổ chức thực hiện chính sách</w:t>
      </w:r>
      <w:r>
        <w:t>, chế độ về</w:t>
      </w:r>
      <w:r w:rsidR="00D46391">
        <w:t xml:space="preserve"> BHXH trong </w:t>
      </w:r>
      <w:r w:rsidR="006B3C23">
        <w:t>CAND</w:t>
      </w:r>
      <w:r w:rsidR="00D46391">
        <w:t xml:space="preserve"> theo quy định của Luật BHXH </w:t>
      </w:r>
      <w:r w:rsidR="0082311C">
        <w:t>năm 2024</w:t>
      </w:r>
      <w:r w:rsidR="00204D94">
        <w:t xml:space="preserve">; Nghị định số </w:t>
      </w:r>
      <w:r w:rsidR="00E32484">
        <w:t>157</w:t>
      </w:r>
      <w:r w:rsidR="00204D94">
        <w:t>/2025/NĐ-CP</w:t>
      </w:r>
      <w:r w:rsidR="00D46391">
        <w:rPr>
          <w:bCs/>
        </w:rPr>
        <w:t xml:space="preserve"> và tạo sự thống nhất, đồng bộ giữa các văn bản quy phạm pháp luật có liên quan.</w:t>
      </w:r>
    </w:p>
    <w:p w:rsidR="004753CC" w:rsidRDefault="00F16379"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b/>
        </w:rPr>
      </w:pPr>
      <w:r>
        <w:rPr>
          <w:b/>
        </w:rPr>
        <w:t>2. Quan điểm xây dựng</w:t>
      </w:r>
    </w:p>
    <w:p w:rsidR="002C050E" w:rsidRDefault="003C520B"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Pr>
          <w:lang w:val="en-GB"/>
        </w:rPr>
        <w:t>Nội dung Thông tư phải b</w:t>
      </w:r>
      <w:r w:rsidR="00761C1A" w:rsidRPr="00F31485">
        <w:rPr>
          <w:lang w:val="en-GB"/>
        </w:rPr>
        <w:t>ảo đảm phù hợp</w:t>
      </w:r>
      <w:r w:rsidR="00761C1A">
        <w:rPr>
          <w:lang w:val="en-GB"/>
        </w:rPr>
        <w:t xml:space="preserve"> </w:t>
      </w:r>
      <w:r w:rsidR="00761C1A" w:rsidRPr="00F31485">
        <w:rPr>
          <w:lang w:val="en-GB"/>
        </w:rPr>
        <w:t xml:space="preserve">với </w:t>
      </w:r>
      <w:r w:rsidR="00761C1A">
        <w:rPr>
          <w:lang w:val="en-GB"/>
        </w:rPr>
        <w:t xml:space="preserve">quy định của </w:t>
      </w:r>
      <w:r w:rsidR="00761C1A">
        <w:t xml:space="preserve">Luật BHXH số </w:t>
      </w:r>
      <w:r w:rsidR="00761C1A" w:rsidRPr="00292195">
        <w:rPr>
          <w:bCs/>
        </w:rPr>
        <w:t>41/2024/QH15</w:t>
      </w:r>
      <w:r w:rsidR="00761C1A">
        <w:rPr>
          <w:lang w:val="en-GB"/>
        </w:rPr>
        <w:t>,</w:t>
      </w:r>
      <w:r w:rsidR="00761C1A" w:rsidRPr="00D46391">
        <w:rPr>
          <w:bCs/>
        </w:rPr>
        <w:t xml:space="preserve"> </w:t>
      </w:r>
      <w:r w:rsidR="00761C1A">
        <w:rPr>
          <w:bCs/>
        </w:rPr>
        <w:t xml:space="preserve">Nghị định số </w:t>
      </w:r>
      <w:r w:rsidR="00E32484">
        <w:rPr>
          <w:bCs/>
        </w:rPr>
        <w:t>157</w:t>
      </w:r>
      <w:r w:rsidR="00761C1A">
        <w:rPr>
          <w:bCs/>
        </w:rPr>
        <w:t xml:space="preserve">/NĐ-CP </w:t>
      </w:r>
      <w:r w:rsidR="00761C1A" w:rsidRPr="00F31485">
        <w:rPr>
          <w:lang w:val="vi-VN"/>
        </w:rPr>
        <w:t xml:space="preserve">và </w:t>
      </w:r>
      <w:r w:rsidR="00761C1A" w:rsidRPr="00F31485">
        <w:rPr>
          <w:lang w:val="en-GB"/>
        </w:rPr>
        <w:t xml:space="preserve">các văn bản </w:t>
      </w:r>
      <w:r w:rsidR="00761C1A" w:rsidRPr="00F31485">
        <w:rPr>
          <w:lang w:val="vi-VN"/>
        </w:rPr>
        <w:t>quy phạm pháp l</w:t>
      </w:r>
      <w:r w:rsidR="00761C1A" w:rsidRPr="00F31485">
        <w:rPr>
          <w:lang w:val="en-GB"/>
        </w:rPr>
        <w:t>uật khác có liên q</w:t>
      </w:r>
      <w:r w:rsidR="00761C1A">
        <w:rPr>
          <w:lang w:val="en-GB"/>
        </w:rPr>
        <w:t>uan</w:t>
      </w:r>
      <w:r w:rsidR="00A15E22">
        <w:rPr>
          <w:lang w:val="en-GB"/>
        </w:rPr>
        <w:t>; k</w:t>
      </w:r>
      <w:r w:rsidR="00A15E22">
        <w:rPr>
          <w:spacing w:val="-4"/>
        </w:rPr>
        <w:t>ế thừa những nội dung</w:t>
      </w:r>
      <w:r w:rsidR="00761C1A" w:rsidRPr="00115B6F">
        <w:rPr>
          <w:spacing w:val="-4"/>
        </w:rPr>
        <w:t xml:space="preserve"> còn phù hợp của </w:t>
      </w:r>
      <w:r w:rsidR="00761C1A" w:rsidRPr="0070169D">
        <w:rPr>
          <w:color w:val="000000"/>
          <w:spacing w:val="-2"/>
        </w:rPr>
        <w:t>Thông tư liên tịch số 105/2016/TTLT-BQP-BCA-BLĐTBXH</w:t>
      </w:r>
      <w:r w:rsidR="00761C1A">
        <w:t xml:space="preserve">; sửa đổi, </w:t>
      </w:r>
      <w:r w:rsidR="00761C1A" w:rsidRPr="00F31485">
        <w:rPr>
          <w:rFonts w:eastAsia="Calibri"/>
        </w:rPr>
        <w:t>bổ</w:t>
      </w:r>
      <w:r w:rsidR="00761C1A">
        <w:rPr>
          <w:rFonts w:eastAsia="Calibri"/>
        </w:rPr>
        <w:t xml:space="preserve"> sung, </w:t>
      </w:r>
      <w:r w:rsidR="00761C1A" w:rsidRPr="00F31485">
        <w:rPr>
          <w:rFonts w:eastAsia="Calibri"/>
        </w:rPr>
        <w:t>khắc phục</w:t>
      </w:r>
      <w:r w:rsidR="00761C1A">
        <w:rPr>
          <w:rFonts w:eastAsia="Calibri"/>
        </w:rPr>
        <w:t xml:space="preserve"> một số nội dung</w:t>
      </w:r>
      <w:r w:rsidR="00761C1A">
        <w:rPr>
          <w:iCs/>
          <w:color w:val="000000"/>
          <w:kern w:val="28"/>
        </w:rPr>
        <w:t xml:space="preserve"> không còn phù hợp với thực tiễn và mô hình tổ chức</w:t>
      </w:r>
      <w:r w:rsidR="00E32484">
        <w:rPr>
          <w:iCs/>
          <w:color w:val="000000"/>
          <w:kern w:val="28"/>
        </w:rPr>
        <w:t xml:space="preserve"> hiện nay</w:t>
      </w:r>
      <w:r w:rsidR="00761C1A">
        <w:rPr>
          <w:iCs/>
          <w:color w:val="000000"/>
          <w:kern w:val="28"/>
        </w:rPr>
        <w:t xml:space="preserve"> của lực lượng CAND.</w:t>
      </w:r>
    </w:p>
    <w:p w:rsidR="002C050E" w:rsidRDefault="00761C1A"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48171D">
        <w:rPr>
          <w:b/>
          <w:color w:val="000000"/>
        </w:rPr>
        <w:t>II</w:t>
      </w:r>
      <w:r>
        <w:rPr>
          <w:b/>
          <w:color w:val="000000"/>
        </w:rPr>
        <w:t>I</w:t>
      </w:r>
      <w:r w:rsidRPr="0048171D">
        <w:rPr>
          <w:b/>
          <w:color w:val="000000"/>
        </w:rPr>
        <w:t>. QUÁ TRÌNH SOẠN THẢO THÔNG TƯ</w:t>
      </w:r>
    </w:p>
    <w:p w:rsidR="002C050E" w:rsidRDefault="00761C1A"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Pr>
          <w:bCs/>
          <w:color w:val="000000"/>
        </w:rPr>
        <w:t xml:space="preserve">Thực hiện quy định của Luật Ban hành văn bản quy phạm pháp luật và </w:t>
      </w:r>
      <w:r>
        <w:rPr>
          <w:bCs/>
          <w:color w:val="000000"/>
        </w:rPr>
        <w:lastRenderedPageBreak/>
        <w:t xml:space="preserve">các văn bản quy định chi tiết thi hành, </w:t>
      </w:r>
      <w:r w:rsidRPr="00115B6F">
        <w:rPr>
          <w:bCs/>
          <w:color w:val="000000"/>
        </w:rPr>
        <w:t xml:space="preserve">X01 đã thực hiện đúng quy trình xây dựng </w:t>
      </w:r>
      <w:r>
        <w:rPr>
          <w:bCs/>
          <w:color w:val="000000"/>
        </w:rPr>
        <w:t xml:space="preserve">dự thảo </w:t>
      </w:r>
      <w:r w:rsidRPr="00115B6F">
        <w:rPr>
          <w:bCs/>
          <w:color w:val="000000"/>
        </w:rPr>
        <w:t>Thông tư, cụ</w:t>
      </w:r>
      <w:r>
        <w:rPr>
          <w:bCs/>
          <w:color w:val="000000"/>
        </w:rPr>
        <w:t xml:space="preserve"> thể:</w:t>
      </w:r>
    </w:p>
    <w:p w:rsidR="002C050E" w:rsidRDefault="00761C1A"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pPr>
      <w:r w:rsidRPr="00C47B37">
        <w:rPr>
          <w:bCs/>
          <w:color w:val="000000"/>
        </w:rPr>
        <w:t xml:space="preserve">1. X01 đã xây dựng dự thảo Tờ trình, dự thảo Thông tư </w:t>
      </w:r>
      <w:r w:rsidR="009C60AB">
        <w:rPr>
          <w:color w:val="000000"/>
          <w:spacing w:val="-2"/>
        </w:rPr>
        <w:t>hướng dẫn</w:t>
      </w:r>
      <w:r w:rsidRPr="00C47B37">
        <w:t xml:space="preserve"> thực hiện </w:t>
      </w:r>
      <w:r>
        <w:t>BHXH</w:t>
      </w:r>
      <w:r w:rsidRPr="00C47B37">
        <w:t xml:space="preserve"> bắt buộc đối với sĩ quan, hạ sĩ quan, chiến sĩ </w:t>
      </w:r>
      <w:r>
        <w:t>CAND</w:t>
      </w:r>
    </w:p>
    <w:p w:rsidR="002C050E" w:rsidRDefault="00204D94"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bCs/>
          <w:i/>
          <w:color w:val="000000"/>
        </w:rPr>
      </w:pPr>
      <w:r>
        <w:rPr>
          <w:bCs/>
          <w:color w:val="000000"/>
        </w:rPr>
        <w:t>2</w:t>
      </w:r>
      <w:r w:rsidR="0048171D" w:rsidRPr="00115B6F">
        <w:rPr>
          <w:bCs/>
          <w:color w:val="000000"/>
        </w:rPr>
        <w:t>.</w:t>
      </w:r>
      <w:r w:rsidR="00BD3695" w:rsidRPr="00115B6F">
        <w:rPr>
          <w:bCs/>
          <w:color w:val="000000"/>
        </w:rPr>
        <w:t xml:space="preserve"> Tổ chức lấy ý kiến của Công an đơn vị, địa phương</w:t>
      </w:r>
      <w:r w:rsidR="00C87BEA" w:rsidRPr="00C87BEA">
        <w:rPr>
          <w:color w:val="000000"/>
        </w:rPr>
        <w:t xml:space="preserve"> </w:t>
      </w:r>
      <w:r w:rsidR="00C87BEA">
        <w:rPr>
          <w:color w:val="000000"/>
        </w:rPr>
        <w:t>và đăng tải xin ý kiến trên Cổng Thông tin điện tử của Bộ Công an</w:t>
      </w:r>
      <w:r w:rsidR="001F71E8" w:rsidRPr="00115B6F">
        <w:rPr>
          <w:bCs/>
          <w:color w:val="000000"/>
        </w:rPr>
        <w:t xml:space="preserve"> </w:t>
      </w:r>
      <w:r w:rsidR="001F71E8" w:rsidRPr="00115B6F">
        <w:rPr>
          <w:bCs/>
          <w:i/>
          <w:color w:val="000000"/>
        </w:rPr>
        <w:t>(có bảng tổng hợp, tiếp thu, giải trình</w:t>
      </w:r>
      <w:r w:rsidR="00C87BEA">
        <w:rPr>
          <w:bCs/>
          <w:i/>
          <w:color w:val="000000"/>
        </w:rPr>
        <w:t xml:space="preserve"> ý kiến tham gia</w:t>
      </w:r>
      <w:r w:rsidR="001F71E8" w:rsidRPr="00115B6F">
        <w:rPr>
          <w:bCs/>
          <w:i/>
          <w:color w:val="000000"/>
        </w:rPr>
        <w:t xml:space="preserve"> kèm theo</w:t>
      </w:r>
      <w:r w:rsidR="001F71E8" w:rsidRPr="00115B6F">
        <w:rPr>
          <w:bCs/>
          <w:color w:val="000000"/>
        </w:rPr>
        <w:t>)</w:t>
      </w:r>
      <w:r w:rsidR="00852748" w:rsidRPr="00115B6F">
        <w:rPr>
          <w:bCs/>
          <w:i/>
          <w:color w:val="000000"/>
        </w:rPr>
        <w:t>.</w:t>
      </w:r>
    </w:p>
    <w:p w:rsidR="002C050E" w:rsidRDefault="00204D94"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color w:val="000000"/>
        </w:rPr>
      </w:pPr>
      <w:r>
        <w:rPr>
          <w:color w:val="000000"/>
        </w:rPr>
        <w:t>3. X01 đã tham mưu lãnh đạo Bộ</w:t>
      </w:r>
      <w:r w:rsidR="00276F5D">
        <w:rPr>
          <w:color w:val="000000"/>
        </w:rPr>
        <w:t xml:space="preserve"> ký</w:t>
      </w:r>
      <w:r>
        <w:rPr>
          <w:color w:val="000000"/>
        </w:rPr>
        <w:t xml:space="preserve"> văn bản </w:t>
      </w:r>
      <w:r w:rsidR="00C87BEA">
        <w:rPr>
          <w:color w:val="000000"/>
        </w:rPr>
        <w:t>đề nghị</w:t>
      </w:r>
      <w:r>
        <w:rPr>
          <w:color w:val="000000"/>
        </w:rPr>
        <w:t xml:space="preserve"> Bộ Tài chính, Bộ Nội vụ</w:t>
      </w:r>
      <w:r w:rsidR="00C87BEA">
        <w:rPr>
          <w:color w:val="000000"/>
        </w:rPr>
        <w:t xml:space="preserve"> tham gia ý kiến vào dự thảo Thông tư </w:t>
      </w:r>
      <w:r w:rsidR="00C87BEA" w:rsidRPr="00C87BEA">
        <w:rPr>
          <w:i/>
          <w:color w:val="000000"/>
        </w:rPr>
        <w:t>(có bảng tổng hợp, tiếp thu, giải trình ý kiến tham gia kèm theo)</w:t>
      </w:r>
    </w:p>
    <w:p w:rsidR="002C050E" w:rsidRDefault="005628E4"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bCs/>
          <w:color w:val="000000"/>
        </w:rPr>
      </w:pPr>
      <w:r w:rsidRPr="005628E4">
        <w:rPr>
          <w:bCs/>
          <w:color w:val="000000"/>
        </w:rPr>
        <w:t>4.</w:t>
      </w:r>
      <w:r w:rsidR="00C47B37">
        <w:rPr>
          <w:bCs/>
          <w:color w:val="000000"/>
        </w:rPr>
        <w:t xml:space="preserve"> Ngày …/…/2025</w:t>
      </w:r>
      <w:r>
        <w:rPr>
          <w:bCs/>
          <w:color w:val="000000"/>
        </w:rPr>
        <w:t xml:space="preserve">, X01 </w:t>
      </w:r>
      <w:r w:rsidR="001B6A20">
        <w:rPr>
          <w:bCs/>
          <w:color w:val="000000"/>
        </w:rPr>
        <w:t xml:space="preserve">đã </w:t>
      </w:r>
      <w:r>
        <w:rPr>
          <w:bCs/>
          <w:color w:val="000000"/>
        </w:rPr>
        <w:t xml:space="preserve">có Tờ trình số </w:t>
      </w:r>
      <w:r w:rsidR="00C47B37">
        <w:rPr>
          <w:bCs/>
          <w:color w:val="000000"/>
        </w:rPr>
        <w:t>….</w:t>
      </w:r>
      <w:r>
        <w:rPr>
          <w:bCs/>
          <w:color w:val="000000"/>
        </w:rPr>
        <w:t xml:space="preserve">/TTr-X01 báo cáo </w:t>
      </w:r>
      <w:r w:rsidR="001B6A20">
        <w:rPr>
          <w:bCs/>
          <w:color w:val="000000"/>
        </w:rPr>
        <w:t xml:space="preserve">xin ý kiến và </w:t>
      </w:r>
      <w:r w:rsidR="00276F5D">
        <w:rPr>
          <w:bCs/>
          <w:color w:val="000000"/>
        </w:rPr>
        <w:t>được</w:t>
      </w:r>
      <w:r w:rsidR="001B6A20">
        <w:rPr>
          <w:bCs/>
          <w:color w:val="000000"/>
        </w:rPr>
        <w:t xml:space="preserve"> </w:t>
      </w:r>
      <w:r>
        <w:rPr>
          <w:bCs/>
          <w:color w:val="000000"/>
        </w:rPr>
        <w:t>các đồng chí Thứ trưởng</w:t>
      </w:r>
      <w:r w:rsidR="00C87BEA">
        <w:rPr>
          <w:bCs/>
          <w:color w:val="000000"/>
        </w:rPr>
        <w:t xml:space="preserve"> có ý kiến</w:t>
      </w:r>
      <w:r w:rsidR="00CB3B7C">
        <w:rPr>
          <w:bCs/>
          <w:color w:val="000000"/>
        </w:rPr>
        <w:t xml:space="preserve"> đồng ý</w:t>
      </w:r>
      <w:r>
        <w:rPr>
          <w:bCs/>
          <w:color w:val="000000"/>
        </w:rPr>
        <w:t xml:space="preserve"> với dự t</w:t>
      </w:r>
      <w:r w:rsidR="00CB3B7C">
        <w:rPr>
          <w:bCs/>
          <w:color w:val="000000"/>
        </w:rPr>
        <w:t>hảo Tờ trình, dự thảo Thông tư</w:t>
      </w:r>
      <w:r w:rsidR="007F6F13">
        <w:rPr>
          <w:bCs/>
          <w:color w:val="000000"/>
        </w:rPr>
        <w:t xml:space="preserve"> </w:t>
      </w:r>
      <w:r w:rsidR="007F6F13" w:rsidRPr="001B6A20">
        <w:rPr>
          <w:bCs/>
          <w:i/>
          <w:color w:val="000000"/>
        </w:rPr>
        <w:t>(</w:t>
      </w:r>
      <w:r w:rsidR="001B6A20" w:rsidRPr="001B6A20">
        <w:rPr>
          <w:bCs/>
          <w:i/>
          <w:color w:val="000000"/>
        </w:rPr>
        <w:t xml:space="preserve">kính trình </w:t>
      </w:r>
      <w:r w:rsidR="007F6F13" w:rsidRPr="001B6A20">
        <w:rPr>
          <w:bCs/>
          <w:i/>
          <w:color w:val="000000"/>
        </w:rPr>
        <w:t>kèm theo)</w:t>
      </w:r>
      <w:r w:rsidR="00CB3B7C">
        <w:rPr>
          <w:bCs/>
          <w:color w:val="000000"/>
        </w:rPr>
        <w:t>.</w:t>
      </w:r>
    </w:p>
    <w:p w:rsidR="002C050E" w:rsidRDefault="00340E0C"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Pr>
          <w:bCs/>
          <w:color w:val="000000"/>
        </w:rPr>
        <w:t xml:space="preserve">5. Ngày </w:t>
      </w:r>
      <w:r w:rsidR="00C47B37">
        <w:rPr>
          <w:bCs/>
          <w:color w:val="000000"/>
        </w:rPr>
        <w:t>…</w:t>
      </w:r>
      <w:r>
        <w:rPr>
          <w:bCs/>
          <w:color w:val="000000"/>
        </w:rPr>
        <w:t>/</w:t>
      </w:r>
      <w:r w:rsidR="00C47B37">
        <w:rPr>
          <w:bCs/>
          <w:color w:val="000000"/>
        </w:rPr>
        <w:t>…/2025</w:t>
      </w:r>
      <w:r>
        <w:rPr>
          <w:bCs/>
          <w:color w:val="000000"/>
        </w:rPr>
        <w:t xml:space="preserve">, X01 có Công văn số </w:t>
      </w:r>
      <w:r w:rsidR="00C47B37">
        <w:rPr>
          <w:bCs/>
          <w:color w:val="000000"/>
        </w:rPr>
        <w:t>…..</w:t>
      </w:r>
      <w:r>
        <w:rPr>
          <w:bCs/>
          <w:color w:val="000000"/>
        </w:rPr>
        <w:t>/X01-P9 đề nghị V03 thẩm định dự thảo Thông tư.</w:t>
      </w:r>
      <w:r w:rsidR="00C47B37">
        <w:rPr>
          <w:bCs/>
          <w:color w:val="000000"/>
        </w:rPr>
        <w:t xml:space="preserve"> Ngày …/…/2025, V03 có Công văn số …./V03-P1 (kèm theo) về việc thẩm định dự thảo Thông tư, như sau: </w:t>
      </w:r>
      <w:r w:rsidR="00204D94">
        <w:rPr>
          <w:bCs/>
          <w:color w:val="000000"/>
        </w:rPr>
        <w:t>……………..</w:t>
      </w:r>
    </w:p>
    <w:p w:rsidR="002C050E" w:rsidRDefault="00540E4C"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Pr>
          <w:b/>
        </w:rPr>
        <w:t>IV</w:t>
      </w:r>
      <w:r w:rsidR="00814266">
        <w:rPr>
          <w:b/>
        </w:rPr>
        <w:t>. BỐ CỤC, NỘI DUNG CƠ BẢN CỦA THÔNG TƯ</w:t>
      </w:r>
    </w:p>
    <w:p w:rsidR="002C050E" w:rsidRDefault="00A62152"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Pr>
          <w:b/>
        </w:rPr>
        <w:t xml:space="preserve">1. Bố cục </w:t>
      </w:r>
    </w:p>
    <w:p w:rsidR="002C050E" w:rsidRDefault="00814266"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t xml:space="preserve">Thông tư được </w:t>
      </w:r>
      <w:r w:rsidR="00CF5E38">
        <w:t>b</w:t>
      </w:r>
      <w:r>
        <w:t xml:space="preserve">ố cục thành 4 </w:t>
      </w:r>
      <w:r w:rsidR="007F17E9">
        <w:t>c</w:t>
      </w:r>
      <w:r>
        <w:t xml:space="preserve">hương, </w:t>
      </w:r>
      <w:r w:rsidR="00C47B37">
        <w:t>2</w:t>
      </w:r>
      <w:r w:rsidR="00664FC2">
        <w:t>6</w:t>
      </w:r>
      <w:r>
        <w:t xml:space="preserve"> </w:t>
      </w:r>
      <w:r w:rsidR="007F17E9">
        <w:t>đ</w:t>
      </w:r>
      <w:r w:rsidR="00B95FDE">
        <w:t>iều.</w:t>
      </w:r>
    </w:p>
    <w:p w:rsidR="002C050E" w:rsidRDefault="007843CD"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F20300">
        <w:rPr>
          <w:b/>
          <w:lang w:val="vi-VN"/>
        </w:rPr>
        <w:t>2</w:t>
      </w:r>
      <w:r w:rsidR="00F77D26" w:rsidRPr="00F20300">
        <w:rPr>
          <w:b/>
          <w:lang w:val="vi-VN"/>
        </w:rPr>
        <w:t>.</w:t>
      </w:r>
      <w:r w:rsidRPr="00F20300">
        <w:rPr>
          <w:b/>
          <w:lang w:val="vi-VN"/>
        </w:rPr>
        <w:t xml:space="preserve"> Nội dung</w:t>
      </w:r>
      <w:r w:rsidR="00F20300" w:rsidRPr="00F20300">
        <w:rPr>
          <w:b/>
          <w:lang w:val="vi-VN"/>
        </w:rPr>
        <w:t xml:space="preserve"> cơ bản của</w:t>
      </w:r>
      <w:r w:rsidRPr="00F20300">
        <w:rPr>
          <w:b/>
          <w:lang w:val="vi-VN"/>
        </w:rPr>
        <w:t xml:space="preserve"> Thông tư</w:t>
      </w:r>
    </w:p>
    <w:p w:rsidR="002C050E" w:rsidRDefault="00F20300"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0F3672">
        <w:rPr>
          <w:lang w:val="vi-VN"/>
        </w:rPr>
        <w:t>Thông tư gồm các nội dung cơ bản như sau:</w:t>
      </w:r>
    </w:p>
    <w:p w:rsidR="002C050E" w:rsidRDefault="00F20300"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C41848">
        <w:rPr>
          <w:b/>
          <w:lang w:val="vi-VN"/>
        </w:rPr>
        <w:t xml:space="preserve">2.1. Chương </w:t>
      </w:r>
      <w:r w:rsidR="000F3672" w:rsidRPr="00C41848">
        <w:rPr>
          <w:b/>
          <w:lang w:val="vi-VN"/>
        </w:rPr>
        <w:t>I</w:t>
      </w:r>
      <w:r w:rsidRPr="00C41848">
        <w:rPr>
          <w:b/>
          <w:lang w:val="vi-VN"/>
        </w:rPr>
        <w:t>. Những quy định chung</w:t>
      </w:r>
    </w:p>
    <w:p w:rsidR="002C050E" w:rsidRDefault="00F20300"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0F3672">
        <w:rPr>
          <w:lang w:val="vi-VN"/>
        </w:rPr>
        <w:t xml:space="preserve">Chương này gồm </w:t>
      </w:r>
      <w:r w:rsidR="00664FC2">
        <w:t>Điều 1 và Điều 2</w:t>
      </w:r>
      <w:r w:rsidRPr="000F3672">
        <w:rPr>
          <w:lang w:val="vi-VN"/>
        </w:rPr>
        <w:t>, quy định về phạm vi điều chỉnh và đối tượng áp dụng của Thông tư.</w:t>
      </w:r>
    </w:p>
    <w:p w:rsidR="002C050E" w:rsidRDefault="00F20300"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C41848">
        <w:rPr>
          <w:b/>
          <w:lang w:val="vi-VN"/>
        </w:rPr>
        <w:t xml:space="preserve">2.2. Chương II. Các chế độ </w:t>
      </w:r>
      <w:r w:rsidR="00D126D0">
        <w:rPr>
          <w:b/>
          <w:lang w:val="vi-VN"/>
        </w:rPr>
        <w:t>BHXH</w:t>
      </w:r>
      <w:r w:rsidRPr="00C41848">
        <w:rPr>
          <w:b/>
          <w:lang w:val="vi-VN"/>
        </w:rPr>
        <w:t xml:space="preserve"> bắt buộc</w:t>
      </w:r>
    </w:p>
    <w:p w:rsidR="002C050E" w:rsidRDefault="00F20300"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1263DF">
        <w:rPr>
          <w:spacing w:val="-2"/>
          <w:lang w:val="vi-VN"/>
        </w:rPr>
        <w:t xml:space="preserve">Chương này gồm </w:t>
      </w:r>
      <w:r w:rsidR="00664FC2">
        <w:rPr>
          <w:spacing w:val="-2"/>
        </w:rPr>
        <w:t>21</w:t>
      </w:r>
      <w:r w:rsidR="00347A94" w:rsidRPr="001263DF">
        <w:rPr>
          <w:spacing w:val="-2"/>
          <w:lang w:val="vi-VN"/>
        </w:rPr>
        <w:t xml:space="preserve"> điều, từ </w:t>
      </w:r>
      <w:r w:rsidR="007F17E9" w:rsidRPr="00F16379">
        <w:rPr>
          <w:spacing w:val="-2"/>
          <w:lang w:val="vi-VN"/>
        </w:rPr>
        <w:t>Đ</w:t>
      </w:r>
      <w:r w:rsidR="00347A94" w:rsidRPr="001263DF">
        <w:rPr>
          <w:spacing w:val="-2"/>
          <w:lang w:val="vi-VN"/>
        </w:rPr>
        <w:t xml:space="preserve">iều 3 đến </w:t>
      </w:r>
      <w:r w:rsidR="007F17E9" w:rsidRPr="00F16379">
        <w:rPr>
          <w:spacing w:val="-2"/>
          <w:lang w:val="vi-VN"/>
        </w:rPr>
        <w:t>Đ</w:t>
      </w:r>
      <w:r w:rsidR="00347A94" w:rsidRPr="001263DF">
        <w:rPr>
          <w:spacing w:val="-2"/>
          <w:lang w:val="vi-VN"/>
        </w:rPr>
        <w:t>iều 2</w:t>
      </w:r>
      <w:r w:rsidR="00664FC2">
        <w:rPr>
          <w:spacing w:val="-2"/>
        </w:rPr>
        <w:t>3</w:t>
      </w:r>
      <w:r w:rsidR="00347A94" w:rsidRPr="001263DF">
        <w:rPr>
          <w:spacing w:val="-2"/>
          <w:lang w:val="vi-VN"/>
        </w:rPr>
        <w:t xml:space="preserve">, kết cấu thành 4 mục, </w:t>
      </w:r>
      <w:r w:rsidR="001263DF" w:rsidRPr="001263DF">
        <w:rPr>
          <w:spacing w:val="-2"/>
          <w:lang w:val="vi-VN"/>
        </w:rPr>
        <w:t>hướng dẫn</w:t>
      </w:r>
      <w:r w:rsidR="00347A94" w:rsidRPr="001263DF">
        <w:rPr>
          <w:spacing w:val="-2"/>
          <w:lang w:val="vi-VN"/>
        </w:rPr>
        <w:t xml:space="preserve"> thực hiện các chế độ </w:t>
      </w:r>
      <w:r w:rsidR="00D126D0">
        <w:rPr>
          <w:spacing w:val="-2"/>
          <w:lang w:val="vi-VN"/>
        </w:rPr>
        <w:t>BHXH</w:t>
      </w:r>
      <w:r w:rsidR="00347A94" w:rsidRPr="001263DF">
        <w:rPr>
          <w:spacing w:val="-2"/>
          <w:lang w:val="vi-VN"/>
        </w:rPr>
        <w:t xml:space="preserve"> bắt buộc</w:t>
      </w:r>
      <w:r w:rsidR="001263DF" w:rsidRPr="001263DF">
        <w:rPr>
          <w:spacing w:val="-2"/>
          <w:lang w:val="vi-VN"/>
        </w:rPr>
        <w:t>; quản lý</w:t>
      </w:r>
      <w:r w:rsidR="00664FC2">
        <w:rPr>
          <w:spacing w:val="-2"/>
        </w:rPr>
        <w:t xml:space="preserve"> thu, đóng </w:t>
      </w:r>
      <w:r w:rsidR="00D126D0">
        <w:rPr>
          <w:spacing w:val="-2"/>
          <w:lang w:val="vi-VN"/>
        </w:rPr>
        <w:t>BHXH</w:t>
      </w:r>
      <w:r w:rsidR="001263DF" w:rsidRPr="001263DF">
        <w:rPr>
          <w:spacing w:val="-2"/>
          <w:lang w:val="vi-VN"/>
        </w:rPr>
        <w:t xml:space="preserve"> </w:t>
      </w:r>
      <w:r w:rsidR="00347A94" w:rsidRPr="001263DF">
        <w:rPr>
          <w:spacing w:val="-2"/>
          <w:lang w:val="vi-VN"/>
        </w:rPr>
        <w:t xml:space="preserve">trong </w:t>
      </w:r>
      <w:r w:rsidR="006B3C23">
        <w:rPr>
          <w:spacing w:val="-2"/>
          <w:lang w:val="vi-VN"/>
        </w:rPr>
        <w:t>CAND</w:t>
      </w:r>
      <w:r w:rsidR="00347A94" w:rsidRPr="001263DF">
        <w:rPr>
          <w:spacing w:val="-2"/>
          <w:lang w:val="vi-VN"/>
        </w:rPr>
        <w:t>.</w:t>
      </w:r>
    </w:p>
    <w:p w:rsidR="002C050E" w:rsidRPr="002C050E" w:rsidRDefault="00347A94"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lang w:val="vi-VN"/>
        </w:rPr>
      </w:pPr>
      <w:r w:rsidRPr="00664FC2">
        <w:rPr>
          <w:b/>
          <w:lang w:val="vi-VN"/>
        </w:rPr>
        <w:t>a) Về chế độ ốm đau (</w:t>
      </w:r>
      <w:r w:rsidR="00E84BA4">
        <w:rPr>
          <w:b/>
        </w:rPr>
        <w:t>M</w:t>
      </w:r>
      <w:r w:rsidRPr="00664FC2">
        <w:rPr>
          <w:b/>
          <w:lang w:val="vi-VN"/>
        </w:rPr>
        <w:t xml:space="preserve">ục </w:t>
      </w:r>
      <w:r w:rsidR="00E84BA4">
        <w:rPr>
          <w:b/>
        </w:rPr>
        <w:t>1</w:t>
      </w:r>
      <w:r w:rsidRPr="00664FC2">
        <w:rPr>
          <w:b/>
          <w:lang w:val="vi-VN"/>
        </w:rPr>
        <w:t xml:space="preserve">, từ </w:t>
      </w:r>
      <w:r w:rsidR="00A82138" w:rsidRPr="00664FC2">
        <w:rPr>
          <w:b/>
          <w:lang w:val="vi-VN"/>
        </w:rPr>
        <w:t>Điều 3 đến Đ</w:t>
      </w:r>
      <w:r w:rsidRPr="00664FC2">
        <w:rPr>
          <w:b/>
          <w:lang w:val="vi-VN"/>
        </w:rPr>
        <w:t>iều 6):</w:t>
      </w:r>
      <w:r w:rsidRPr="000F3672">
        <w:rPr>
          <w:lang w:val="vi-VN"/>
        </w:rPr>
        <w:t xml:space="preserve"> hướng dẫn cụ thể về điều kiện hưởng chế độ ốm đau, thời gian hưởng chế độ ốm đau, mức hưởng trợ cấp ố</w:t>
      </w:r>
      <w:r w:rsidR="0075154F" w:rsidRPr="000F3672">
        <w:rPr>
          <w:lang w:val="vi-VN"/>
        </w:rPr>
        <w:t xml:space="preserve">m đau và dưỡng </w:t>
      </w:r>
      <w:r w:rsidR="00782639" w:rsidRPr="00A07BF2">
        <w:rPr>
          <w:lang w:val="vi-VN"/>
        </w:rPr>
        <w:t>s</w:t>
      </w:r>
      <w:r w:rsidR="0075154F" w:rsidRPr="000F3672">
        <w:rPr>
          <w:lang w:val="vi-VN"/>
        </w:rPr>
        <w:t>ức, phục hồi sức khỏe sau ốm đau</w:t>
      </w:r>
      <w:r w:rsidR="00AC331B" w:rsidRPr="000F3672">
        <w:rPr>
          <w:lang w:val="vi-VN"/>
        </w:rPr>
        <w:t xml:space="preserve"> quy định tại</w:t>
      </w:r>
      <w:r w:rsidR="00AC331B" w:rsidRPr="00AC331B">
        <w:rPr>
          <w:color w:val="000000"/>
          <w:lang w:val="vi-VN"/>
        </w:rPr>
        <w:t xml:space="preserve"> </w:t>
      </w:r>
      <w:bookmarkStart w:id="0" w:name="dc_1014"/>
      <w:r w:rsidR="00AC331B" w:rsidRPr="00AE2565">
        <w:rPr>
          <w:color w:val="000000"/>
          <w:lang w:val="vi-VN"/>
        </w:rPr>
        <w:t xml:space="preserve">Luật </w:t>
      </w:r>
      <w:bookmarkEnd w:id="0"/>
      <w:r w:rsidR="00204D94" w:rsidRPr="00F16379">
        <w:rPr>
          <w:color w:val="000000"/>
          <w:lang w:val="vi-VN"/>
        </w:rPr>
        <w:t xml:space="preserve">BHXH năm 2024 </w:t>
      </w:r>
      <w:r w:rsidR="00AC331B">
        <w:rPr>
          <w:color w:val="000000"/>
          <w:lang w:val="vi-VN"/>
        </w:rPr>
        <w:t>và</w:t>
      </w:r>
      <w:r w:rsidR="00AC331B" w:rsidRPr="000F3672">
        <w:rPr>
          <w:color w:val="000000"/>
          <w:lang w:val="vi-VN"/>
        </w:rPr>
        <w:t xml:space="preserve"> </w:t>
      </w:r>
      <w:r w:rsidR="00AC331B" w:rsidRPr="003628E8">
        <w:rPr>
          <w:color w:val="000000"/>
          <w:lang w:val="vi-VN"/>
        </w:rPr>
        <w:t xml:space="preserve">Nghị định số </w:t>
      </w:r>
      <w:r w:rsidR="00664FC2">
        <w:rPr>
          <w:color w:val="000000"/>
        </w:rPr>
        <w:t>157</w:t>
      </w:r>
      <w:r w:rsidR="00AC331B" w:rsidRPr="003628E8">
        <w:rPr>
          <w:color w:val="000000"/>
          <w:lang w:val="vi-VN"/>
        </w:rPr>
        <w:t>/2025/NĐ-CP</w:t>
      </w:r>
      <w:r w:rsidR="00B95FDE">
        <w:rPr>
          <w:lang w:val="vi-VN"/>
        </w:rPr>
        <w:t xml:space="preserve">. Đồng thời </w:t>
      </w:r>
      <w:r w:rsidR="00204D94" w:rsidRPr="00F16379">
        <w:rPr>
          <w:lang w:val="vi-VN"/>
        </w:rPr>
        <w:t>hướng dẫn</w:t>
      </w:r>
      <w:r w:rsidR="00B95FDE" w:rsidRPr="00B95FDE">
        <w:rPr>
          <w:lang w:val="vi-VN"/>
        </w:rPr>
        <w:t xml:space="preserve"> rõ một số nội dung như:</w:t>
      </w:r>
    </w:p>
    <w:p w:rsidR="002C050E" w:rsidRPr="00425AEA" w:rsidRDefault="00DA0657"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lang w:val="vi-VN"/>
        </w:rPr>
      </w:pPr>
      <w:r w:rsidRPr="00DA0657">
        <w:rPr>
          <w:lang w:val="vi-VN"/>
        </w:rPr>
        <w:t xml:space="preserve">- </w:t>
      </w:r>
      <w:r w:rsidR="00A82138" w:rsidRPr="00F16379">
        <w:rPr>
          <w:lang w:val="vi-VN"/>
        </w:rPr>
        <w:t>T</w:t>
      </w:r>
      <w:r w:rsidR="007C1790" w:rsidRPr="007C1790">
        <w:rPr>
          <w:color w:val="000000"/>
          <w:lang w:val="vi-VN"/>
        </w:rPr>
        <w:t xml:space="preserve">rường hợp người lao động nghỉ việc hưởng chế độ ốm đau theo quy </w:t>
      </w:r>
      <w:r w:rsidR="00F16379" w:rsidRPr="00F16379">
        <w:rPr>
          <w:color w:val="000000"/>
          <w:lang w:val="vi-VN"/>
        </w:rPr>
        <w:t>đ</w:t>
      </w:r>
      <w:r w:rsidR="007C1790" w:rsidRPr="007C1790">
        <w:rPr>
          <w:color w:val="000000"/>
          <w:lang w:val="vi-VN"/>
        </w:rPr>
        <w:t xml:space="preserve">ịnh tại </w:t>
      </w:r>
      <w:r w:rsidR="007C1790" w:rsidRPr="003628E8">
        <w:rPr>
          <w:lang w:val="vi-VN"/>
        </w:rPr>
        <w:t xml:space="preserve">khoản 1 Điều 42 của Luật </w:t>
      </w:r>
      <w:r w:rsidR="00D126D0">
        <w:rPr>
          <w:lang w:val="vi-VN"/>
        </w:rPr>
        <w:t>BHXH</w:t>
      </w:r>
      <w:r w:rsidR="007C1790" w:rsidRPr="007C1790">
        <w:rPr>
          <w:lang w:val="vi-VN"/>
        </w:rPr>
        <w:t xml:space="preserve"> </w:t>
      </w:r>
      <w:r w:rsidR="007C1790" w:rsidRPr="007C1790">
        <w:rPr>
          <w:color w:val="000000"/>
          <w:lang w:val="vi-VN"/>
        </w:rPr>
        <w:t>mà có thời gian</w:t>
      </w:r>
      <w:r w:rsidR="007C1790" w:rsidRPr="003628E8">
        <w:rPr>
          <w:color w:val="000000"/>
          <w:lang w:val="vi-VN"/>
        </w:rPr>
        <w:t xml:space="preserve"> trùng với thời gian </w:t>
      </w:r>
      <w:r w:rsidR="007C1790" w:rsidRPr="00AE2565">
        <w:rPr>
          <w:color w:val="000000"/>
          <w:lang w:val="vi-VN"/>
        </w:rPr>
        <w:t>nghỉ phép hằng năm,</w:t>
      </w:r>
      <w:r w:rsidR="007C1790" w:rsidRPr="003628E8">
        <w:rPr>
          <w:color w:val="000000"/>
          <w:lang w:val="vi-VN"/>
        </w:rPr>
        <w:t xml:space="preserve"> nghỉ lễ, tết, ngày nghỉ hằng tuần,</w:t>
      </w:r>
      <w:r w:rsidR="007C1790" w:rsidRPr="00AE2565">
        <w:rPr>
          <w:color w:val="000000"/>
          <w:lang w:val="vi-VN"/>
        </w:rPr>
        <w:t xml:space="preserve"> ngh</w:t>
      </w:r>
      <w:r w:rsidR="007C1790" w:rsidRPr="003628E8">
        <w:rPr>
          <w:color w:val="000000"/>
          <w:lang w:val="vi-VN"/>
        </w:rPr>
        <w:t>ỉ</w:t>
      </w:r>
      <w:r w:rsidR="007C1790" w:rsidRPr="00AE2565">
        <w:rPr>
          <w:color w:val="000000"/>
          <w:lang w:val="vi-VN"/>
        </w:rPr>
        <w:t> việc riêng, nghỉ</w:t>
      </w:r>
      <w:r w:rsidR="007C1790">
        <w:rPr>
          <w:color w:val="000000"/>
          <w:lang w:val="vi-VN"/>
        </w:rPr>
        <w:t xml:space="preserve"> không hưởng lương</w:t>
      </w:r>
      <w:r w:rsidR="007C1790" w:rsidRPr="003628E8">
        <w:rPr>
          <w:color w:val="000000"/>
          <w:lang w:val="vi-VN"/>
        </w:rPr>
        <w:t>,</w:t>
      </w:r>
      <w:r w:rsidR="007C1790" w:rsidRPr="00AE2565">
        <w:rPr>
          <w:color w:val="000000"/>
          <w:lang w:val="vi-VN"/>
        </w:rPr>
        <w:t xml:space="preserve"> </w:t>
      </w:r>
      <w:r w:rsidR="007C1790">
        <w:rPr>
          <w:color w:val="000000"/>
          <w:lang w:val="vi-VN"/>
        </w:rPr>
        <w:t xml:space="preserve">nghỉ </w:t>
      </w:r>
      <w:r w:rsidR="007C1790" w:rsidRPr="003628E8">
        <w:rPr>
          <w:color w:val="000000"/>
          <w:lang w:val="vi-VN"/>
        </w:rPr>
        <w:t xml:space="preserve">công tác chờ hưởng chế độ </w:t>
      </w:r>
      <w:r w:rsidR="007C1790" w:rsidRPr="00AE2565">
        <w:rPr>
          <w:color w:val="000000"/>
          <w:lang w:val="vi-VN"/>
        </w:rPr>
        <w:t xml:space="preserve">hưu </w:t>
      </w:r>
      <w:r w:rsidR="007C1790" w:rsidRPr="003628E8">
        <w:rPr>
          <w:color w:val="000000"/>
          <w:lang w:val="vi-VN"/>
        </w:rPr>
        <w:t xml:space="preserve">trí, nghỉ công tác hưởng nguyên lương </w:t>
      </w:r>
      <w:r w:rsidR="007C1790" w:rsidRPr="00AE2565">
        <w:rPr>
          <w:color w:val="000000"/>
          <w:lang w:val="vi-VN"/>
        </w:rPr>
        <w:t>theo qu</w:t>
      </w:r>
      <w:r w:rsidR="007C1790">
        <w:rPr>
          <w:color w:val="000000"/>
          <w:lang w:val="vi-VN"/>
        </w:rPr>
        <w:t xml:space="preserve">y định </w:t>
      </w:r>
      <w:r w:rsidR="007C1790" w:rsidRPr="003628E8">
        <w:rPr>
          <w:color w:val="000000"/>
          <w:lang w:val="vi-VN"/>
        </w:rPr>
        <w:t>của Bộ Công an;</w:t>
      </w:r>
      <w:r w:rsidR="007C1790" w:rsidRPr="00AE2565">
        <w:rPr>
          <w:color w:val="000000"/>
          <w:lang w:val="vi-VN"/>
        </w:rPr>
        <w:t xml:space="preserve"> nghỉ việc hư</w:t>
      </w:r>
      <w:r w:rsidR="007C1790" w:rsidRPr="003628E8">
        <w:rPr>
          <w:color w:val="000000"/>
          <w:lang w:val="vi-VN"/>
        </w:rPr>
        <w:t>ở</w:t>
      </w:r>
      <w:r w:rsidR="007C1790" w:rsidRPr="00AE2565">
        <w:rPr>
          <w:color w:val="000000"/>
          <w:lang w:val="vi-VN"/>
        </w:rPr>
        <w:t xml:space="preserve">ng chế độ </w:t>
      </w:r>
      <w:r w:rsidR="007C1790" w:rsidRPr="00AE2565">
        <w:rPr>
          <w:color w:val="000000"/>
          <w:lang w:val="vi-VN"/>
        </w:rPr>
        <w:lastRenderedPageBreak/>
        <w:t>thai sản</w:t>
      </w:r>
      <w:r w:rsidR="007C1790" w:rsidRPr="003628E8">
        <w:rPr>
          <w:color w:val="000000"/>
          <w:lang w:val="vi-VN"/>
        </w:rPr>
        <w:t>, dưỡng sức phục hồi sức khỏe</w:t>
      </w:r>
      <w:r w:rsidR="007C1790" w:rsidRPr="00AE2565">
        <w:rPr>
          <w:color w:val="000000"/>
          <w:lang w:val="vi-VN"/>
        </w:rPr>
        <w:t xml:space="preserve"> theo quy định của pháp luật</w:t>
      </w:r>
      <w:r w:rsidR="007C1790">
        <w:rPr>
          <w:color w:val="000000"/>
          <w:lang w:val="vi-VN"/>
        </w:rPr>
        <w:t xml:space="preserve"> về </w:t>
      </w:r>
      <w:r w:rsidR="00D126D0">
        <w:rPr>
          <w:color w:val="000000"/>
          <w:lang w:val="vi-VN"/>
        </w:rPr>
        <w:t>BHXH</w:t>
      </w:r>
      <w:r w:rsidR="007C1790" w:rsidRPr="007C1790">
        <w:rPr>
          <w:color w:val="000000"/>
          <w:lang w:val="vi-VN"/>
        </w:rPr>
        <w:t xml:space="preserve">  thì không được tính hưởng trợ cấp ốm đau.</w:t>
      </w:r>
    </w:p>
    <w:p w:rsidR="002C050E" w:rsidRDefault="00F250AA"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7C1790">
        <w:rPr>
          <w:color w:val="000000"/>
          <w:lang w:val="vi-VN"/>
        </w:rPr>
        <w:t xml:space="preserve">- </w:t>
      </w:r>
      <w:r w:rsidR="008C7266">
        <w:rPr>
          <w:color w:val="000000"/>
        </w:rPr>
        <w:t>V</w:t>
      </w:r>
      <w:r w:rsidR="0082311C">
        <w:rPr>
          <w:color w:val="000000"/>
          <w:lang w:val="vi-VN"/>
        </w:rPr>
        <w:t>iệc</w:t>
      </w:r>
      <w:r w:rsidR="0082311C" w:rsidRPr="009E6A73">
        <w:rPr>
          <w:color w:val="000000"/>
          <w:lang w:val="vi-VN"/>
        </w:rPr>
        <w:t xml:space="preserve"> </w:t>
      </w:r>
      <w:r w:rsidR="0082311C">
        <w:rPr>
          <w:color w:val="000000"/>
          <w:lang w:val="vi-VN"/>
        </w:rPr>
        <w:t xml:space="preserve">quyết định số ngày nghỉ dưỡng sức, phục hồi sức khỏe sau ốm đau theo quy định tại khoản 2 Điều 46 Luật </w:t>
      </w:r>
      <w:r w:rsidR="00EA5254">
        <w:rPr>
          <w:color w:val="000000"/>
        </w:rPr>
        <w:t xml:space="preserve">BHXH </w:t>
      </w:r>
      <w:r w:rsidR="0082311C">
        <w:rPr>
          <w:color w:val="000000"/>
          <w:lang w:val="vi-VN"/>
        </w:rPr>
        <w:t>do thủ trưởng đơn vị cấp cục; Giám đốc Công an cấp tỉnh; Giám thị Trại giam, Giám đốc cơ sở giáo dục bắt buộc, Hiệu trưởng trường giáo dưỡng thuộc Cục Cảnh sát quản lý trại giam, cơ sở giáo dục bắt buộc, trường giáo dưỡng; Trung đoàn trưởng, Đoàn trưởng thuộc Bộ Tư lệnh; người đứng đầu doanh nghiệp quyết định trên cơ sở đề nghị của cơ quan tổ chức cán bộ và cơ quan y tế (nếu có).</w:t>
      </w:r>
    </w:p>
    <w:p w:rsidR="002C050E" w:rsidRDefault="00BE3F49" w:rsidP="00661557">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iCs/>
          <w:color w:val="000000"/>
          <w:kern w:val="28"/>
        </w:rPr>
      </w:pPr>
      <w:r w:rsidRPr="004753CC">
        <w:rPr>
          <w:color w:val="000000"/>
          <w:lang w:val="vi-VN"/>
        </w:rPr>
        <w:t xml:space="preserve">- </w:t>
      </w:r>
      <w:r w:rsidR="00DA0657" w:rsidRPr="004753CC">
        <w:rPr>
          <w:color w:val="000000"/>
          <w:lang w:val="vi-VN"/>
        </w:rPr>
        <w:t>Hướng dẫn</w:t>
      </w:r>
      <w:r w:rsidRPr="004753CC">
        <w:rPr>
          <w:color w:val="000000"/>
          <w:lang w:val="vi-VN"/>
        </w:rPr>
        <w:t xml:space="preserve"> cách tính mức hưởng trợ cấp ốm đau đối với trường hợp người lao động nghỉ việc hưởng trợ cấp ốm đau nửa ngày, nghỉ việc hưởng trợ cấp ốm đau liên tục từ một tháng trở lên.</w:t>
      </w:r>
    </w:p>
    <w:p w:rsidR="002C050E" w:rsidRPr="00EA5254" w:rsidRDefault="0075154F" w:rsidP="00CB143B">
      <w:pPr>
        <w:widowControl w:val="0"/>
        <w:pBdr>
          <w:top w:val="dotted" w:sz="4" w:space="0" w:color="FFFFFF"/>
          <w:left w:val="dotted" w:sz="4" w:space="0" w:color="FFFFFF"/>
          <w:bottom w:val="dotted" w:sz="4" w:space="8" w:color="FFFFFF"/>
          <w:right w:val="dotted" w:sz="4" w:space="0" w:color="FFFFFF"/>
        </w:pBdr>
        <w:spacing w:before="120" w:after="120"/>
        <w:ind w:firstLine="851"/>
        <w:jc w:val="both"/>
        <w:rPr>
          <w:color w:val="000000"/>
          <w:lang w:val="vi-VN"/>
        </w:rPr>
      </w:pPr>
      <w:r w:rsidRPr="0075154F">
        <w:rPr>
          <w:lang w:val="vi-VN"/>
        </w:rPr>
        <w:t xml:space="preserve"> </w:t>
      </w:r>
      <w:r w:rsidRPr="00664FC2">
        <w:rPr>
          <w:b/>
          <w:lang w:val="vi-VN"/>
        </w:rPr>
        <w:t>b) Về chế độ thai sản (</w:t>
      </w:r>
      <w:r w:rsidR="00A7612C">
        <w:rPr>
          <w:b/>
        </w:rPr>
        <w:t>M</w:t>
      </w:r>
      <w:r w:rsidRPr="00664FC2">
        <w:rPr>
          <w:b/>
          <w:lang w:val="vi-VN"/>
        </w:rPr>
        <w:t xml:space="preserve">ục </w:t>
      </w:r>
      <w:r w:rsidR="008C7266">
        <w:rPr>
          <w:b/>
        </w:rPr>
        <w:t>2</w:t>
      </w:r>
      <w:r w:rsidRPr="00664FC2">
        <w:rPr>
          <w:b/>
          <w:lang w:val="vi-VN"/>
        </w:rPr>
        <w:t>, từ Điều 7 đến Điều 10):</w:t>
      </w:r>
      <w:r w:rsidR="00BE3F49" w:rsidRPr="004753CC">
        <w:rPr>
          <w:lang w:val="vi-VN"/>
        </w:rPr>
        <w:t xml:space="preserve"> Hướng dẫn cụ thể điều kiện hưởng, thời gian được nghỉ việc hưởng chế độ thai sản, trợ cấp thai sản và dưỡng sức, phục hồi sức khỏe sau thai sản</w:t>
      </w:r>
      <w:r w:rsidR="00DA0657" w:rsidRPr="004753CC">
        <w:rPr>
          <w:lang w:val="vi-VN"/>
        </w:rPr>
        <w:t xml:space="preserve"> quy định tại </w:t>
      </w:r>
      <w:r w:rsidR="00DA0657" w:rsidRPr="00AE2565">
        <w:rPr>
          <w:color w:val="000000"/>
          <w:lang w:val="vi-VN"/>
        </w:rPr>
        <w:t xml:space="preserve">Luật </w:t>
      </w:r>
      <w:r w:rsidR="00204D94" w:rsidRPr="00F16379">
        <w:rPr>
          <w:color w:val="000000"/>
          <w:lang w:val="vi-VN"/>
        </w:rPr>
        <w:t>BHXH năm 2024</w:t>
      </w:r>
      <w:r w:rsidR="00A82138" w:rsidRPr="00F16379">
        <w:rPr>
          <w:color w:val="000000"/>
          <w:lang w:val="vi-VN"/>
        </w:rPr>
        <w:t>,</w:t>
      </w:r>
      <w:r w:rsidR="00DA0657" w:rsidRPr="000F3672">
        <w:rPr>
          <w:color w:val="000000"/>
          <w:lang w:val="vi-VN"/>
        </w:rPr>
        <w:t xml:space="preserve"> </w:t>
      </w:r>
      <w:r w:rsidR="00DA0657" w:rsidRPr="003628E8">
        <w:rPr>
          <w:color w:val="000000"/>
          <w:lang w:val="vi-VN"/>
        </w:rPr>
        <w:t xml:space="preserve">Nghị định số </w:t>
      </w:r>
      <w:r w:rsidR="008C7266">
        <w:rPr>
          <w:color w:val="000000"/>
        </w:rPr>
        <w:t>157</w:t>
      </w:r>
      <w:r w:rsidR="00DA0657" w:rsidRPr="003628E8">
        <w:rPr>
          <w:color w:val="000000"/>
          <w:lang w:val="vi-VN"/>
        </w:rPr>
        <w:t>/2025/NĐ-CP</w:t>
      </w:r>
      <w:r w:rsidR="00DE3E55" w:rsidRPr="00F16379">
        <w:rPr>
          <w:color w:val="000000"/>
          <w:lang w:val="vi-VN"/>
        </w:rPr>
        <w:t>.</w:t>
      </w:r>
      <w:r w:rsidR="00F904FC" w:rsidRPr="00F16379">
        <w:rPr>
          <w:color w:val="000000"/>
          <w:lang w:val="vi-VN"/>
        </w:rPr>
        <w:t xml:space="preserve"> </w:t>
      </w:r>
    </w:p>
    <w:p w:rsidR="00DB0D2B" w:rsidRPr="00425AEA" w:rsidRDefault="00DB0D2B" w:rsidP="00CB143B">
      <w:pPr>
        <w:widowControl w:val="0"/>
        <w:pBdr>
          <w:top w:val="dotted" w:sz="4" w:space="0" w:color="FFFFFF"/>
          <w:left w:val="dotted" w:sz="4" w:space="0" w:color="FFFFFF"/>
          <w:bottom w:val="dotted" w:sz="4" w:space="0" w:color="FFFFFF"/>
          <w:right w:val="dotted" w:sz="4" w:space="0" w:color="FFFFFF"/>
        </w:pBdr>
        <w:spacing w:before="120" w:after="120"/>
        <w:ind w:firstLine="851"/>
        <w:jc w:val="both"/>
        <w:rPr>
          <w:spacing w:val="-2"/>
          <w:lang w:val="vi-VN"/>
        </w:rPr>
      </w:pPr>
      <w:r w:rsidRPr="008C7266">
        <w:rPr>
          <w:b/>
          <w:spacing w:val="-2"/>
          <w:lang w:val="vi-VN"/>
        </w:rPr>
        <w:t>c) Về chế độ hưu trí (</w:t>
      </w:r>
      <w:r w:rsidR="007867E3">
        <w:rPr>
          <w:b/>
          <w:spacing w:val="-2"/>
        </w:rPr>
        <w:t>M</w:t>
      </w:r>
      <w:r w:rsidRPr="008C7266">
        <w:rPr>
          <w:b/>
          <w:spacing w:val="-2"/>
          <w:lang w:val="vi-VN"/>
        </w:rPr>
        <w:t xml:space="preserve">ục </w:t>
      </w:r>
      <w:r w:rsidR="007867E3">
        <w:rPr>
          <w:b/>
          <w:spacing w:val="-2"/>
        </w:rPr>
        <w:t>3</w:t>
      </w:r>
      <w:r w:rsidRPr="008C7266">
        <w:rPr>
          <w:b/>
          <w:spacing w:val="-2"/>
          <w:lang w:val="vi-VN"/>
        </w:rPr>
        <w:t xml:space="preserve">, từ Điều 11 đến Điều 17): </w:t>
      </w:r>
      <w:r w:rsidRPr="001263DF">
        <w:rPr>
          <w:spacing w:val="-2"/>
          <w:lang w:val="vi-VN"/>
        </w:rPr>
        <w:t xml:space="preserve">Hướng dẫn cụ thể về điều kiện hưởng lương hưu, thời điểm hưởng lương hưu, mức lương hưu hằng tháng, trợ cấp một lần khi nghỉ hưu, </w:t>
      </w:r>
      <w:r>
        <w:rPr>
          <w:spacing w:val="-2"/>
          <w:lang w:val="vi-VN"/>
        </w:rPr>
        <w:t>BHXH</w:t>
      </w:r>
      <w:r w:rsidRPr="001263DF">
        <w:rPr>
          <w:spacing w:val="-2"/>
          <w:lang w:val="vi-VN"/>
        </w:rPr>
        <w:t xml:space="preserve"> một lần và bảo lưu thời gian đóng BHXH. </w:t>
      </w:r>
      <w:r w:rsidRPr="00F16379">
        <w:rPr>
          <w:spacing w:val="-2"/>
          <w:lang w:val="vi-VN"/>
        </w:rPr>
        <w:t>Trong đó hướng dẫn rõ một số nội dung</w:t>
      </w:r>
      <w:r w:rsidRPr="001263DF">
        <w:rPr>
          <w:spacing w:val="-2"/>
          <w:lang w:val="vi-VN"/>
        </w:rPr>
        <w:t xml:space="preserve"> như</w:t>
      </w:r>
      <w:r w:rsidRPr="00DB0D2B">
        <w:rPr>
          <w:spacing w:val="-2"/>
          <w:lang w:val="vi-VN"/>
        </w:rPr>
        <w:t xml:space="preserve"> sau:</w:t>
      </w:r>
    </w:p>
    <w:p w:rsidR="00DB0D2B" w:rsidRPr="00425AEA" w:rsidRDefault="00DB0D2B" w:rsidP="00661557">
      <w:pPr>
        <w:widowControl w:val="0"/>
        <w:pBdr>
          <w:top w:val="dotted" w:sz="4" w:space="0" w:color="FFFFFF"/>
          <w:left w:val="dotted" w:sz="4" w:space="0" w:color="FFFFFF"/>
          <w:bottom w:val="dotted" w:sz="4" w:space="0" w:color="FFFFFF"/>
          <w:right w:val="dotted" w:sz="4" w:space="0" w:color="FFFFFF"/>
        </w:pBdr>
        <w:spacing w:before="120" w:after="120"/>
        <w:ind w:firstLine="851"/>
        <w:jc w:val="both"/>
        <w:rPr>
          <w:color w:val="000000"/>
          <w:lang w:val="vi-VN"/>
        </w:rPr>
      </w:pPr>
      <w:r w:rsidRPr="004753CC">
        <w:rPr>
          <w:lang w:val="vi-VN"/>
        </w:rPr>
        <w:t xml:space="preserve">- </w:t>
      </w:r>
      <w:r w:rsidRPr="00F16379">
        <w:rPr>
          <w:lang w:val="vi-VN"/>
        </w:rPr>
        <w:t>V</w:t>
      </w:r>
      <w:r w:rsidRPr="004753CC">
        <w:rPr>
          <w:lang w:val="vi-VN"/>
        </w:rPr>
        <w:t>iệc c</w:t>
      </w:r>
      <w:r w:rsidR="00425AEA" w:rsidRPr="00425AEA">
        <w:rPr>
          <w:lang w:val="vi-VN"/>
        </w:rPr>
        <w:t>ộ</w:t>
      </w:r>
      <w:r w:rsidRPr="004753CC">
        <w:rPr>
          <w:lang w:val="vi-VN"/>
        </w:rPr>
        <w:t xml:space="preserve">ng dồn các khoảng </w:t>
      </w:r>
      <w:r w:rsidRPr="00F16379">
        <w:rPr>
          <w:lang w:val="vi-VN"/>
        </w:rPr>
        <w:t>t</w:t>
      </w:r>
      <w:r w:rsidRPr="00AE2565">
        <w:rPr>
          <w:color w:val="000000"/>
          <w:lang w:val="vi-VN"/>
        </w:rPr>
        <w:t>hời gian làm nghề hoặc công việc nặng nhọc, độc hại, nguy hiểm hoặc đặc biệt nặng nhọc, độc hại, nguy hiểm; thời gian làm việc ở nơi có phụ cấp khu vực hệ số từ 0,7 trở lên và thời gian công tác tại các chiến trường B, </w:t>
      </w:r>
      <w:r w:rsidRPr="003628E8">
        <w:rPr>
          <w:color w:val="000000"/>
          <w:lang w:val="vi-VN"/>
        </w:rPr>
        <w:t>C</w:t>
      </w:r>
      <w:r w:rsidRPr="00AE2565">
        <w:rPr>
          <w:color w:val="000000"/>
          <w:lang w:val="vi-VN"/>
        </w:rPr>
        <w:t> trước ngày 30 tháng 4 năm 1975 và chiến trường K trước ngày 31 tháng 8 năm 1989</w:t>
      </w:r>
      <w:r w:rsidRPr="004753CC">
        <w:rPr>
          <w:color w:val="000000"/>
          <w:lang w:val="vi-VN"/>
        </w:rPr>
        <w:t xml:space="preserve">; </w:t>
      </w:r>
      <w:r w:rsidRPr="00F16379">
        <w:rPr>
          <w:color w:val="000000"/>
          <w:lang w:val="vi-VN"/>
        </w:rPr>
        <w:t>t</w:t>
      </w:r>
      <w:r w:rsidRPr="00AE2565">
        <w:rPr>
          <w:color w:val="000000"/>
          <w:lang w:val="vi-VN"/>
        </w:rPr>
        <w:t>hời gian công tác trong Quân đội</w:t>
      </w:r>
      <w:r w:rsidRPr="003628E8">
        <w:rPr>
          <w:color w:val="000000"/>
          <w:lang w:val="vi-VN"/>
        </w:rPr>
        <w:t xml:space="preserve"> nhân dân</w:t>
      </w:r>
      <w:r w:rsidRPr="00AE2565">
        <w:rPr>
          <w:color w:val="000000"/>
          <w:lang w:val="vi-VN"/>
        </w:rPr>
        <w:t xml:space="preserve">, </w:t>
      </w:r>
      <w:r>
        <w:rPr>
          <w:color w:val="000000"/>
          <w:lang w:val="vi-VN"/>
        </w:rPr>
        <w:t>CAND</w:t>
      </w:r>
      <w:r w:rsidRPr="00AE2565">
        <w:rPr>
          <w:color w:val="000000"/>
          <w:lang w:val="vi-VN"/>
        </w:rPr>
        <w:t>, tổ chức cơ yếu mà được xác định là tuổi quân, thâm niên nghề công an, thâm niên nghề cơ yếu</w:t>
      </w:r>
      <w:r w:rsidRPr="00D33FBA">
        <w:rPr>
          <w:color w:val="000000"/>
          <w:lang w:val="vi-VN"/>
        </w:rPr>
        <w:t xml:space="preserve"> </w:t>
      </w:r>
      <w:r w:rsidRPr="00AE2565">
        <w:rPr>
          <w:color w:val="000000"/>
          <w:lang w:val="vi-VN"/>
        </w:rPr>
        <w:t>thì được cộng dồn làm căn cứ xét điều kiện để giải quyết chế độ hưu trí</w:t>
      </w:r>
      <w:r w:rsidRPr="00425AEA">
        <w:rPr>
          <w:color w:val="000000"/>
          <w:lang w:val="vi-VN"/>
        </w:rPr>
        <w:t>;</w:t>
      </w:r>
    </w:p>
    <w:p w:rsidR="00CB143B" w:rsidRDefault="00DB0D2B" w:rsidP="00661557">
      <w:pPr>
        <w:widowControl w:val="0"/>
        <w:pBdr>
          <w:top w:val="dotted" w:sz="4" w:space="0" w:color="FFFFFF"/>
          <w:left w:val="dotted" w:sz="4" w:space="0" w:color="FFFFFF"/>
          <w:bottom w:val="dotted" w:sz="4" w:space="0" w:color="FFFFFF"/>
          <w:right w:val="dotted" w:sz="4" w:space="0" w:color="FFFFFF"/>
        </w:pBdr>
        <w:spacing w:before="120" w:after="120"/>
        <w:ind w:firstLine="851"/>
        <w:jc w:val="both"/>
        <w:rPr>
          <w:color w:val="000000"/>
          <w:spacing w:val="-2"/>
          <w:lang w:val="af-ZA"/>
        </w:rPr>
      </w:pPr>
      <w:r w:rsidRPr="00F16379">
        <w:rPr>
          <w:color w:val="000000"/>
          <w:lang w:val="vi-VN"/>
        </w:rPr>
        <w:t>- T</w:t>
      </w:r>
      <w:r w:rsidRPr="004753CC">
        <w:rPr>
          <w:color w:val="000000"/>
          <w:lang w:val="vi-VN"/>
        </w:rPr>
        <w:t>hời điểm hưởng lương hưu</w:t>
      </w:r>
      <w:r w:rsidRPr="00F16379">
        <w:rPr>
          <w:color w:val="000000"/>
          <w:lang w:val="vi-VN"/>
        </w:rPr>
        <w:t xml:space="preserve"> được hướng dẫn cụ thể như sau: (1) </w:t>
      </w:r>
      <w:r w:rsidRPr="00AE2565">
        <w:rPr>
          <w:color w:val="000000"/>
          <w:lang w:val="vi-VN"/>
        </w:rPr>
        <w:t xml:space="preserve">Thời điểm hưởng lương hưu là thời điểm được ghi trong quyết định nghỉ </w:t>
      </w:r>
      <w:r w:rsidRPr="00F16379">
        <w:rPr>
          <w:color w:val="000000"/>
          <w:lang w:val="vi-VN"/>
        </w:rPr>
        <w:t>công tác</w:t>
      </w:r>
      <w:r w:rsidRPr="00AE2565">
        <w:rPr>
          <w:color w:val="000000"/>
          <w:lang w:val="vi-VN"/>
        </w:rPr>
        <w:t xml:space="preserve"> hưởng chế độ </w:t>
      </w:r>
      <w:r w:rsidRPr="00F16379">
        <w:rPr>
          <w:color w:val="000000"/>
          <w:lang w:val="vi-VN"/>
        </w:rPr>
        <w:t xml:space="preserve">hưu trí của cấp </w:t>
      </w:r>
      <w:r w:rsidRPr="00AE2565">
        <w:rPr>
          <w:color w:val="000000"/>
          <w:lang w:val="vi-VN"/>
        </w:rPr>
        <w:t>có thẩm quyền có hiệu lực thi hành khi người lao động đã đủ điều kiện hưởng lương hưu theo quy định của pháp luật.</w:t>
      </w:r>
      <w:r w:rsidRPr="00F16379">
        <w:rPr>
          <w:color w:val="000000"/>
          <w:lang w:val="vi-VN"/>
        </w:rPr>
        <w:t xml:space="preserve"> (</w:t>
      </w:r>
      <w:r w:rsidRPr="00F16379">
        <w:rPr>
          <w:color w:val="000000"/>
          <w:spacing w:val="-2"/>
          <w:lang w:val="vi-VN"/>
        </w:rPr>
        <w:t>2) </w:t>
      </w:r>
      <w:r w:rsidRPr="00AA6D72">
        <w:rPr>
          <w:color w:val="000000"/>
          <w:spacing w:val="-2"/>
          <w:lang w:val="vi-VN"/>
        </w:rPr>
        <w:t xml:space="preserve">Thời điểm đủ điều kiện về tuổi đời hưởng lương hưu là ngày 01 tháng liền kề sau tháng sinh của năm mà người lao động đủ điều kiện về tuổi đời hưởng lương hưu. </w:t>
      </w:r>
      <w:r w:rsidRPr="00AA6D72">
        <w:rPr>
          <w:spacing w:val="-2"/>
          <w:lang w:val="af-ZA"/>
        </w:rPr>
        <w:t xml:space="preserve">Việc hưởng lương hưu đối với các trường hợp không xác định được ngày, tháng sinh hoặc mất hồ sơ và các trường hợp đặc biệt khác thực hiện theo quy định tại khoản 4 Điều </w:t>
      </w:r>
      <w:r>
        <w:rPr>
          <w:spacing w:val="-2"/>
          <w:lang w:val="af-ZA"/>
        </w:rPr>
        <w:t>12</w:t>
      </w:r>
      <w:r w:rsidRPr="00AA6D72">
        <w:rPr>
          <w:spacing w:val="-2"/>
          <w:lang w:val="af-ZA"/>
        </w:rPr>
        <w:t xml:space="preserve"> Nghị định số </w:t>
      </w:r>
      <w:r w:rsidR="007867E3">
        <w:rPr>
          <w:spacing w:val="-2"/>
          <w:lang w:val="af-ZA"/>
        </w:rPr>
        <w:t>157</w:t>
      </w:r>
      <w:r w:rsidRPr="00AA6D72">
        <w:rPr>
          <w:spacing w:val="-2"/>
          <w:lang w:val="af-ZA"/>
        </w:rPr>
        <w:t>/2025/NĐ-CP.</w:t>
      </w:r>
      <w:r>
        <w:rPr>
          <w:spacing w:val="-2"/>
          <w:lang w:val="af-ZA"/>
        </w:rPr>
        <w:t xml:space="preserve"> (3)</w:t>
      </w:r>
      <w:r w:rsidRPr="00AA6D72">
        <w:rPr>
          <w:color w:val="000000"/>
          <w:spacing w:val="-2"/>
          <w:lang w:val="vi-VN"/>
        </w:rPr>
        <w:t xml:space="preserve"> Thời điểm đủ điều kiện hưởng chế độ hưu trí khi suy giảm khả năng lao động là ngày 01 tháng sau liền kề khi người lao động có đủ cả ba điều kiện về tuổi đời, thời gian đóng </w:t>
      </w:r>
      <w:r w:rsidR="00EA5254" w:rsidRPr="00EA5254">
        <w:rPr>
          <w:color w:val="000000"/>
          <w:spacing w:val="-2"/>
          <w:lang w:val="af-ZA"/>
        </w:rPr>
        <w:t xml:space="preserve">BHXH </w:t>
      </w:r>
      <w:r w:rsidRPr="00AA6D72">
        <w:rPr>
          <w:color w:val="000000"/>
          <w:spacing w:val="-2"/>
          <w:lang w:val="vi-VN"/>
        </w:rPr>
        <w:t>và có kết luận bị suy giảm khả năng lao động từ 61% trở lên của Hội đồng Giám định y khoa có thẩm quyền.</w:t>
      </w:r>
      <w:r w:rsidRPr="00F16379">
        <w:rPr>
          <w:color w:val="000000"/>
          <w:spacing w:val="-2"/>
          <w:lang w:val="af-ZA"/>
        </w:rPr>
        <w:t xml:space="preserve"> </w:t>
      </w:r>
    </w:p>
    <w:p w:rsidR="00DB0D2B" w:rsidRDefault="0087281E" w:rsidP="00661557">
      <w:pPr>
        <w:widowControl w:val="0"/>
        <w:pBdr>
          <w:top w:val="dotted" w:sz="4" w:space="0" w:color="FFFFFF"/>
          <w:left w:val="dotted" w:sz="4" w:space="0" w:color="FFFFFF"/>
          <w:bottom w:val="dotted" w:sz="4" w:space="0" w:color="FFFFFF"/>
          <w:right w:val="dotted" w:sz="4" w:space="0" w:color="FFFFFF"/>
        </w:pBdr>
        <w:spacing w:before="120" w:after="120"/>
        <w:ind w:firstLine="851"/>
        <w:jc w:val="both"/>
        <w:rPr>
          <w:iCs/>
          <w:color w:val="000000"/>
          <w:kern w:val="28"/>
          <w:lang w:val="af-ZA"/>
        </w:rPr>
      </w:pPr>
      <w:r w:rsidRPr="004753CC">
        <w:rPr>
          <w:color w:val="000000"/>
          <w:lang w:val="vi-VN"/>
        </w:rPr>
        <w:lastRenderedPageBreak/>
        <w:t xml:space="preserve">- </w:t>
      </w:r>
      <w:r w:rsidR="00DE3E55" w:rsidRPr="00F16379">
        <w:rPr>
          <w:color w:val="000000"/>
          <w:lang w:val="vi-VN"/>
        </w:rPr>
        <w:t>T</w:t>
      </w:r>
      <w:r w:rsidRPr="004753CC">
        <w:rPr>
          <w:color w:val="000000"/>
          <w:lang w:val="vi-VN"/>
        </w:rPr>
        <w:t>rợ cấp một lần khi nghỉ hưu</w:t>
      </w:r>
      <w:r w:rsidR="00F904FC" w:rsidRPr="00F16379">
        <w:rPr>
          <w:color w:val="000000"/>
          <w:lang w:val="vi-VN"/>
        </w:rPr>
        <w:t xml:space="preserve">: </w:t>
      </w:r>
      <w:r w:rsidR="00150172">
        <w:rPr>
          <w:color w:val="000000"/>
        </w:rPr>
        <w:t>H</w:t>
      </w:r>
      <w:r w:rsidR="00F904FC" w:rsidRPr="00F16379">
        <w:rPr>
          <w:color w:val="000000"/>
          <w:lang w:val="vi-VN"/>
        </w:rPr>
        <w:t>ướng dẫn cụ thể t</w:t>
      </w:r>
      <w:r w:rsidRPr="003628E8">
        <w:rPr>
          <w:color w:val="000000"/>
          <w:lang w:val="vi-VN"/>
        </w:rPr>
        <w:t>rường hợp người lao động đã đủ điều kiện hư</w:t>
      </w:r>
      <w:r w:rsidR="000975D4">
        <w:rPr>
          <w:color w:val="000000"/>
          <w:lang w:val="vi-VN"/>
        </w:rPr>
        <w:t>ởng lương hưu theo quy định tại</w:t>
      </w:r>
      <w:r w:rsidR="000975D4" w:rsidRPr="000975D4">
        <w:rPr>
          <w:color w:val="000000"/>
          <w:lang w:val="vi-VN"/>
        </w:rPr>
        <w:t xml:space="preserve"> </w:t>
      </w:r>
      <w:r w:rsidRPr="003628E8">
        <w:rPr>
          <w:color w:val="000000"/>
          <w:lang w:val="vi-VN"/>
        </w:rPr>
        <w:t xml:space="preserve">Điều </w:t>
      </w:r>
      <w:r w:rsidR="00B753C3" w:rsidRPr="00B753C3">
        <w:rPr>
          <w:color w:val="000000"/>
          <w:lang w:val="vi-VN"/>
        </w:rPr>
        <w:t>14</w:t>
      </w:r>
      <w:r w:rsidRPr="003628E8">
        <w:rPr>
          <w:color w:val="000000"/>
          <w:lang w:val="vi-VN"/>
        </w:rPr>
        <w:t xml:space="preserve"> Nghị định số </w:t>
      </w:r>
      <w:r w:rsidR="007867E3">
        <w:rPr>
          <w:color w:val="000000"/>
        </w:rPr>
        <w:t>157</w:t>
      </w:r>
      <w:r w:rsidRPr="003628E8">
        <w:rPr>
          <w:color w:val="000000"/>
          <w:lang w:val="vi-VN"/>
        </w:rPr>
        <w:t xml:space="preserve">/2025/NĐ-CP mà tiếp tục đóng </w:t>
      </w:r>
      <w:r w:rsidR="00D126D0">
        <w:rPr>
          <w:color w:val="000000"/>
          <w:lang w:val="vi-VN"/>
        </w:rPr>
        <w:t>BHXH</w:t>
      </w:r>
      <w:r w:rsidRPr="003628E8">
        <w:rPr>
          <w:color w:val="000000"/>
          <w:lang w:val="vi-VN"/>
        </w:rPr>
        <w:t xml:space="preserve"> thì mức trợ cấp một lần khi nghỉ hưu đối với thời gian đóng </w:t>
      </w:r>
      <w:r w:rsidR="00D126D0">
        <w:rPr>
          <w:color w:val="000000"/>
          <w:lang w:val="vi-VN"/>
        </w:rPr>
        <w:t>BHXH</w:t>
      </w:r>
      <w:r w:rsidRPr="003628E8">
        <w:rPr>
          <w:color w:val="000000"/>
          <w:lang w:val="vi-VN"/>
        </w:rPr>
        <w:t xml:space="preserve"> cao hơn 35 năm đối với nam và cao hơn 30 </w:t>
      </w:r>
      <w:r>
        <w:rPr>
          <w:color w:val="000000"/>
          <w:lang w:val="vi-VN"/>
        </w:rPr>
        <w:t>năm đối với nữ được tính cụ thể</w:t>
      </w:r>
      <w:r w:rsidRPr="0087281E">
        <w:rPr>
          <w:color w:val="000000"/>
          <w:lang w:val="vi-VN"/>
        </w:rPr>
        <w:t xml:space="preserve">: </w:t>
      </w:r>
      <w:r w:rsidRPr="00CB143B">
        <w:rPr>
          <w:i/>
          <w:spacing w:val="2"/>
          <w:lang w:val="vi-VN"/>
        </w:rPr>
        <w:t xml:space="preserve">Mỗi năm đóng </w:t>
      </w:r>
      <w:r w:rsidR="00D126D0" w:rsidRPr="00CB143B">
        <w:rPr>
          <w:i/>
          <w:spacing w:val="2"/>
          <w:lang w:val="vi-VN"/>
        </w:rPr>
        <w:t>BHXH</w:t>
      </w:r>
      <w:r w:rsidRPr="00CB143B">
        <w:rPr>
          <w:i/>
          <w:spacing w:val="2"/>
          <w:lang w:val="vi-VN"/>
        </w:rPr>
        <w:t xml:space="preserve"> cao hơn 35 năm đối với n</w:t>
      </w:r>
      <w:r w:rsidR="00B753C3" w:rsidRPr="00CB143B">
        <w:rPr>
          <w:i/>
          <w:spacing w:val="2"/>
          <w:lang w:val="vi-VN"/>
        </w:rPr>
        <w:t xml:space="preserve">am và cao hơn 30 năm đối với nữ </w:t>
      </w:r>
      <w:r w:rsidRPr="00CB143B">
        <w:rPr>
          <w:i/>
          <w:lang w:val="vi-VN"/>
        </w:rPr>
        <w:t xml:space="preserve">được tính bằng 02 lần của mức bình quân tiền lương làm căn cứ đóng </w:t>
      </w:r>
      <w:r w:rsidR="00D126D0" w:rsidRPr="00CB143B">
        <w:rPr>
          <w:i/>
          <w:lang w:val="vi-VN"/>
        </w:rPr>
        <w:t>BHXH</w:t>
      </w:r>
      <w:r w:rsidRPr="00CB143B">
        <w:rPr>
          <w:i/>
          <w:lang w:val="vi-VN"/>
        </w:rPr>
        <w:t>.</w:t>
      </w:r>
      <w:r w:rsidRPr="003628E8">
        <w:rPr>
          <w:lang w:val="vi-VN"/>
        </w:rPr>
        <w:t xml:space="preserve"> </w:t>
      </w:r>
    </w:p>
    <w:p w:rsidR="0075154F" w:rsidRPr="00F16379" w:rsidRDefault="0075154F" w:rsidP="00661557">
      <w:pPr>
        <w:spacing w:before="120" w:after="120"/>
        <w:ind w:firstLine="851"/>
        <w:jc w:val="both"/>
        <w:rPr>
          <w:lang w:val="vi-VN"/>
        </w:rPr>
      </w:pPr>
      <w:r w:rsidRPr="007867E3">
        <w:rPr>
          <w:b/>
          <w:lang w:val="vi-VN"/>
        </w:rPr>
        <w:t>d) Về chế độ tử tuất (</w:t>
      </w:r>
      <w:r w:rsidR="007867E3">
        <w:rPr>
          <w:b/>
        </w:rPr>
        <w:t>M</w:t>
      </w:r>
      <w:r w:rsidRPr="007867E3">
        <w:rPr>
          <w:b/>
          <w:lang w:val="vi-VN"/>
        </w:rPr>
        <w:t xml:space="preserve">ục </w:t>
      </w:r>
      <w:r w:rsidR="007867E3">
        <w:rPr>
          <w:b/>
        </w:rPr>
        <w:t>4</w:t>
      </w:r>
      <w:r w:rsidRPr="007867E3">
        <w:rPr>
          <w:b/>
          <w:lang w:val="vi-VN"/>
        </w:rPr>
        <w:t>, từ Điều 18 đến điều 20):</w:t>
      </w:r>
      <w:r w:rsidR="009E59D4" w:rsidRPr="0087281E">
        <w:rPr>
          <w:lang w:val="vi-VN"/>
        </w:rPr>
        <w:t xml:space="preserve"> </w:t>
      </w:r>
      <w:r w:rsidR="00150172">
        <w:t>H</w:t>
      </w:r>
      <w:r w:rsidR="009E59D4" w:rsidRPr="0087281E">
        <w:rPr>
          <w:lang w:val="vi-VN"/>
        </w:rPr>
        <w:t>ướng dẫn thực hiện về chế độ trợ cấp mai táng, trợ cấp tuất một lần, trợ cấp tuất hằng tháng</w:t>
      </w:r>
      <w:r w:rsidR="00CF3FBC" w:rsidRPr="00F16379">
        <w:rPr>
          <w:lang w:val="vi-VN"/>
        </w:rPr>
        <w:t>, trong đó hướng dẫn rõ một số nội dung:</w:t>
      </w:r>
    </w:p>
    <w:p w:rsidR="00CF3FBC" w:rsidRPr="00CB143B" w:rsidRDefault="00CF3FBC" w:rsidP="00661557">
      <w:pPr>
        <w:shd w:val="clear" w:color="auto" w:fill="FFFFFF"/>
        <w:spacing w:before="120" w:after="120"/>
        <w:ind w:firstLine="851"/>
        <w:jc w:val="both"/>
        <w:rPr>
          <w:color w:val="000000"/>
        </w:rPr>
      </w:pPr>
      <w:r w:rsidRPr="00F16379">
        <w:rPr>
          <w:color w:val="000000"/>
          <w:lang w:val="vi-VN"/>
        </w:rPr>
        <w:t>-</w:t>
      </w:r>
      <w:r w:rsidRPr="003628E8">
        <w:rPr>
          <w:color w:val="000000"/>
          <w:lang w:val="vi-VN"/>
        </w:rPr>
        <w:t xml:space="preserve"> N</w:t>
      </w:r>
      <w:r w:rsidRPr="00AE2565">
        <w:rPr>
          <w:color w:val="000000"/>
          <w:lang w:val="vi-VN"/>
        </w:rPr>
        <w:t xml:space="preserve">gười lao động có thời gian đóng </w:t>
      </w:r>
      <w:r w:rsidR="00DB0D2B" w:rsidRPr="00DB0D2B">
        <w:rPr>
          <w:color w:val="000000"/>
          <w:lang w:val="vi-VN"/>
        </w:rPr>
        <w:t>BHXH</w:t>
      </w:r>
      <w:r w:rsidRPr="00AE2565">
        <w:rPr>
          <w:color w:val="000000"/>
          <w:lang w:val="vi-VN"/>
        </w:rPr>
        <w:t xml:space="preserve"> bắt buộc còn thiếu không quá</w:t>
      </w:r>
      <w:r w:rsidRPr="003628E8">
        <w:rPr>
          <w:color w:val="000000"/>
          <w:lang w:val="vi-VN"/>
        </w:rPr>
        <w:t> 06 </w:t>
      </w:r>
      <w:r w:rsidRPr="00AE2565">
        <w:rPr>
          <w:color w:val="000000"/>
          <w:lang w:val="vi-VN"/>
        </w:rPr>
        <w:t xml:space="preserve">tháng để đủ 15 năm đóng </w:t>
      </w:r>
      <w:r w:rsidR="00DB0D2B" w:rsidRPr="00DB0D2B">
        <w:rPr>
          <w:color w:val="000000"/>
          <w:lang w:val="vi-VN"/>
        </w:rPr>
        <w:t xml:space="preserve">BHXH </w:t>
      </w:r>
      <w:r w:rsidRPr="00AE2565">
        <w:rPr>
          <w:color w:val="000000"/>
          <w:lang w:val="vi-VN"/>
        </w:rPr>
        <w:t>mà bị chết, nếu có thân nhân đủ điều kiện hưởng chế độ tuất hằng tháng theo quy định tại </w:t>
      </w:r>
      <w:bookmarkStart w:id="1" w:name="dc_75"/>
      <w:r w:rsidRPr="00706ADA">
        <w:rPr>
          <w:color w:val="000000"/>
          <w:lang w:val="vi-VN"/>
        </w:rPr>
        <w:t>k</w:t>
      </w:r>
      <w:r w:rsidRPr="00AE2565">
        <w:rPr>
          <w:color w:val="000000"/>
          <w:lang w:val="vi-VN"/>
        </w:rPr>
        <w:t xml:space="preserve">hoản 2 Điều 67 Luật </w:t>
      </w:r>
      <w:bookmarkEnd w:id="1"/>
      <w:r w:rsidR="00DB0D2B" w:rsidRPr="00DB0D2B">
        <w:rPr>
          <w:color w:val="000000"/>
          <w:lang w:val="vi-VN"/>
        </w:rPr>
        <w:t xml:space="preserve">BHXH </w:t>
      </w:r>
      <w:r w:rsidRPr="00AE2565">
        <w:rPr>
          <w:color w:val="000000"/>
          <w:lang w:val="vi-VN"/>
        </w:rPr>
        <w:t xml:space="preserve">và có nguyện vọng được hưởng trợ cấp tuất hằng tháng thì thân nhân được đóng tiếp </w:t>
      </w:r>
      <w:r w:rsidR="00EA5254" w:rsidRPr="00EA5254">
        <w:rPr>
          <w:color w:val="000000"/>
          <w:lang w:val="vi-VN"/>
        </w:rPr>
        <w:t>BHXH</w:t>
      </w:r>
      <w:r w:rsidRPr="00AE2565">
        <w:rPr>
          <w:color w:val="000000"/>
          <w:lang w:val="vi-VN"/>
        </w:rPr>
        <w:t xml:space="preserve"> một lần cho số tháng còn thiếu vào quỹ hưu </w:t>
      </w:r>
      <w:r w:rsidRPr="003628E8">
        <w:rPr>
          <w:color w:val="000000"/>
          <w:lang w:val="vi-VN"/>
        </w:rPr>
        <w:t>tr</w:t>
      </w:r>
      <w:r w:rsidRPr="00AE2565">
        <w:rPr>
          <w:color w:val="000000"/>
          <w:lang w:val="vi-VN"/>
        </w:rPr>
        <w:t>í và tử tuất</w:t>
      </w:r>
      <w:r w:rsidRPr="00F16379">
        <w:rPr>
          <w:color w:val="000000"/>
          <w:lang w:val="vi-VN"/>
        </w:rPr>
        <w:t xml:space="preserve"> (thân nhân đóng cho Công an đơn vị, địa phương để nộp về Cục Kế hoạch và tài chính)</w:t>
      </w:r>
      <w:r w:rsidRPr="00AE2565">
        <w:rPr>
          <w:color w:val="000000"/>
          <w:lang w:val="vi-VN"/>
        </w:rPr>
        <w:t xml:space="preserve">; mức đóng hằng tháng bằng 22% mức tiền lương tháng đóng </w:t>
      </w:r>
      <w:r w:rsidR="00EA5254" w:rsidRPr="00EA5254">
        <w:rPr>
          <w:color w:val="000000"/>
          <w:lang w:val="vi-VN"/>
        </w:rPr>
        <w:t>BHXH</w:t>
      </w:r>
      <w:r w:rsidRPr="00AE2565">
        <w:rPr>
          <w:color w:val="000000"/>
          <w:lang w:val="vi-VN"/>
        </w:rPr>
        <w:t xml:space="preserve"> của người lao động trước khi chết để được giải quyết trợ cấp tuất h</w:t>
      </w:r>
      <w:r w:rsidR="00CB143B">
        <w:rPr>
          <w:color w:val="000000"/>
          <w:lang w:val="vi-VN"/>
        </w:rPr>
        <w:t>ằng tháng</w:t>
      </w:r>
      <w:r w:rsidR="00CB143B">
        <w:rPr>
          <w:color w:val="000000"/>
        </w:rPr>
        <w:t>.</w:t>
      </w:r>
    </w:p>
    <w:p w:rsidR="00CB143B" w:rsidRPr="00CB143B" w:rsidRDefault="00E713E2" w:rsidP="00661557">
      <w:pPr>
        <w:shd w:val="clear" w:color="auto" w:fill="FFFFFF"/>
        <w:spacing w:before="120" w:after="120"/>
        <w:ind w:firstLine="851"/>
        <w:jc w:val="both"/>
        <w:rPr>
          <w:color w:val="000000"/>
        </w:rPr>
      </w:pPr>
      <w:r w:rsidRPr="00F16379">
        <w:rPr>
          <w:color w:val="000000"/>
          <w:lang w:val="vi-VN"/>
        </w:rPr>
        <w:t>-</w:t>
      </w:r>
      <w:r w:rsidR="00CF3FBC" w:rsidRPr="003628E8">
        <w:rPr>
          <w:color w:val="000000"/>
          <w:lang w:val="vi-VN"/>
        </w:rPr>
        <w:t> </w:t>
      </w:r>
      <w:r w:rsidR="00CB143B">
        <w:rPr>
          <w:color w:val="000000"/>
        </w:rPr>
        <w:t>Hướng dẫn cụ thể v</w:t>
      </w:r>
      <w:r w:rsidR="00CF3FBC" w:rsidRPr="00AE2565">
        <w:rPr>
          <w:color w:val="000000"/>
          <w:lang w:val="vi-VN"/>
        </w:rPr>
        <w:t>iệc khám giám định mức suy giảm khả năng lao động để làm cơ sở giải quyết trợ cấp tuất hằng tháng theo quy định tại </w:t>
      </w:r>
      <w:bookmarkStart w:id="2" w:name="dc_76"/>
      <w:r w:rsidR="00CF3FBC" w:rsidRPr="00AE2565">
        <w:rPr>
          <w:color w:val="000000"/>
          <w:lang w:val="vi-VN"/>
        </w:rPr>
        <w:t xml:space="preserve">khoản </w:t>
      </w:r>
      <w:r w:rsidR="00CF3FBC" w:rsidRPr="003628E8">
        <w:rPr>
          <w:color w:val="000000"/>
          <w:lang w:val="vi-VN"/>
        </w:rPr>
        <w:t>2</w:t>
      </w:r>
      <w:r w:rsidR="00CF3FBC" w:rsidRPr="00AE2565">
        <w:rPr>
          <w:color w:val="000000"/>
          <w:lang w:val="vi-VN"/>
        </w:rPr>
        <w:t xml:space="preserve"> Điều </w:t>
      </w:r>
      <w:r w:rsidR="00CF3FBC" w:rsidRPr="003628E8">
        <w:rPr>
          <w:color w:val="000000"/>
          <w:lang w:val="vi-VN"/>
        </w:rPr>
        <w:t>86</w:t>
      </w:r>
      <w:r w:rsidR="00CF3FBC" w:rsidRPr="00AE2565">
        <w:rPr>
          <w:color w:val="000000"/>
          <w:lang w:val="vi-VN"/>
        </w:rPr>
        <w:t xml:space="preserve"> Luật </w:t>
      </w:r>
      <w:bookmarkEnd w:id="2"/>
      <w:r w:rsidR="00DB0D2B" w:rsidRPr="00DB0D2B">
        <w:rPr>
          <w:color w:val="000000"/>
          <w:lang w:val="vi-VN"/>
        </w:rPr>
        <w:t>BHXH</w:t>
      </w:r>
      <w:r w:rsidR="00CB143B">
        <w:rPr>
          <w:color w:val="000000"/>
        </w:rPr>
        <w:t>.</w:t>
      </w:r>
    </w:p>
    <w:p w:rsidR="00CF3FBC" w:rsidRPr="003628E8" w:rsidRDefault="00E713E2" w:rsidP="00661557">
      <w:pPr>
        <w:shd w:val="clear" w:color="auto" w:fill="FFFFFF"/>
        <w:spacing w:before="120" w:after="120"/>
        <w:ind w:firstLine="851"/>
        <w:jc w:val="both"/>
        <w:rPr>
          <w:color w:val="000000"/>
          <w:lang w:val="vi-VN"/>
        </w:rPr>
      </w:pPr>
      <w:r w:rsidRPr="00F16379">
        <w:rPr>
          <w:color w:val="000000"/>
          <w:lang w:val="vi-VN"/>
        </w:rPr>
        <w:t>-</w:t>
      </w:r>
      <w:r w:rsidR="00CF3FBC" w:rsidRPr="003628E8">
        <w:rPr>
          <w:color w:val="000000"/>
          <w:lang w:val="vi-VN"/>
        </w:rPr>
        <w:t> </w:t>
      </w:r>
      <w:r w:rsidR="00CF3FBC" w:rsidRPr="00AE2565">
        <w:rPr>
          <w:color w:val="000000"/>
          <w:lang w:val="vi-VN"/>
        </w:rPr>
        <w:t>Trường hợp số thân nhân của người lao động chết, đủ điều kiện hưởng tuất hằng tháng vượt quá 4 người, thì các thân nhân trong gia đình thỏa thuận, thống nhất bằng văn bản, lựa chọn người nhận trợ cấp tuất hằng tháng, có xác nhận của chính quyền địa phương nơi cư trú</w:t>
      </w:r>
      <w:r w:rsidR="00CF3FBC" w:rsidRPr="003628E8">
        <w:rPr>
          <w:color w:val="000000"/>
          <w:lang w:val="vi-VN"/>
        </w:rPr>
        <w:t xml:space="preserve"> hoặc xác nhận của đơn vị nơi người lao động công tác trước khi chết</w:t>
      </w:r>
      <w:r w:rsidR="00CF3FBC" w:rsidRPr="00AE2565">
        <w:rPr>
          <w:color w:val="000000"/>
          <w:lang w:val="vi-VN"/>
        </w:rPr>
        <w:t>.</w:t>
      </w:r>
    </w:p>
    <w:p w:rsidR="00CF3FBC" w:rsidRPr="00706ADA" w:rsidRDefault="008F3104" w:rsidP="00661557">
      <w:pPr>
        <w:shd w:val="clear" w:color="auto" w:fill="FFFFFF"/>
        <w:spacing w:before="120" w:after="120"/>
        <w:ind w:firstLine="851"/>
        <w:jc w:val="both"/>
        <w:rPr>
          <w:color w:val="000000"/>
          <w:lang w:val="vi-VN"/>
        </w:rPr>
      </w:pPr>
      <w:r w:rsidRPr="00F16379">
        <w:rPr>
          <w:color w:val="000000"/>
          <w:spacing w:val="-4"/>
          <w:lang w:val="vi-VN"/>
        </w:rPr>
        <w:t>-</w:t>
      </w:r>
      <w:r w:rsidR="00CF3FBC" w:rsidRPr="003628E8">
        <w:rPr>
          <w:color w:val="000000"/>
          <w:lang w:val="vi-VN"/>
        </w:rPr>
        <w:t xml:space="preserve"> </w:t>
      </w:r>
      <w:r w:rsidR="00CF3FBC" w:rsidRPr="00AE2565">
        <w:rPr>
          <w:color w:val="000000"/>
          <w:lang w:val="vi-VN"/>
        </w:rPr>
        <w:t xml:space="preserve">Khi tính trợ cấp tuất một lần đối với người đang đóng </w:t>
      </w:r>
      <w:r w:rsidRPr="00F16379">
        <w:rPr>
          <w:color w:val="000000"/>
          <w:lang w:val="vi-VN"/>
        </w:rPr>
        <w:t>BHXH</w:t>
      </w:r>
      <w:r w:rsidR="00CF3FBC" w:rsidRPr="00AE2565">
        <w:rPr>
          <w:color w:val="000000"/>
          <w:lang w:val="vi-VN"/>
        </w:rPr>
        <w:t xml:space="preserve"> hoặc đang bảo lưu thời gian đóng </w:t>
      </w:r>
      <w:r w:rsidRPr="00F16379">
        <w:rPr>
          <w:color w:val="000000"/>
          <w:lang w:val="vi-VN"/>
        </w:rPr>
        <w:t>BHXH</w:t>
      </w:r>
      <w:r w:rsidR="00DB0D2B">
        <w:rPr>
          <w:color w:val="000000"/>
          <w:lang w:val="vi-VN"/>
        </w:rPr>
        <w:t xml:space="preserve"> chết mà thời gian đóng</w:t>
      </w:r>
      <w:r w:rsidR="00DB0D2B" w:rsidRPr="00DB0D2B">
        <w:rPr>
          <w:color w:val="000000"/>
          <w:lang w:val="vi-VN"/>
        </w:rPr>
        <w:t xml:space="preserve"> BHXH </w:t>
      </w:r>
      <w:r w:rsidR="00CF3FBC" w:rsidRPr="00AE2565">
        <w:rPr>
          <w:color w:val="000000"/>
          <w:lang w:val="vi-VN"/>
        </w:rPr>
        <w:t>có tháng lẻ th</w:t>
      </w:r>
      <w:r w:rsidR="00CF3FBC" w:rsidRPr="003628E8">
        <w:rPr>
          <w:color w:val="000000"/>
          <w:lang w:val="vi-VN"/>
        </w:rPr>
        <w:t xml:space="preserve">ì </w:t>
      </w:r>
      <w:r w:rsidR="00CF3FBC" w:rsidRPr="00AE2565">
        <w:rPr>
          <w:color w:val="000000"/>
          <w:lang w:val="vi-VN"/>
        </w:rPr>
        <w:t>từ 01 tháng đến 06 tháng được tính là nửa (1/2) năm, từ</w:t>
      </w:r>
      <w:r w:rsidR="00CF3FBC" w:rsidRPr="003628E8">
        <w:rPr>
          <w:color w:val="000000"/>
          <w:lang w:val="vi-VN"/>
        </w:rPr>
        <w:t> 07 </w:t>
      </w:r>
      <w:r w:rsidR="00CF3FBC" w:rsidRPr="00AE2565">
        <w:rPr>
          <w:color w:val="000000"/>
          <w:lang w:val="vi-VN"/>
        </w:rPr>
        <w:t>tháng đến 11 tháng được tính là một năm.</w:t>
      </w:r>
      <w:r w:rsidR="00CF3FBC" w:rsidRPr="003628E8">
        <w:rPr>
          <w:color w:val="000000"/>
          <w:lang w:val="vi-VN"/>
        </w:rPr>
        <w:t xml:space="preserve"> </w:t>
      </w:r>
      <w:r w:rsidR="00CF3FBC" w:rsidRPr="00AE2565">
        <w:rPr>
          <w:color w:val="000000"/>
          <w:lang w:val="vi-VN"/>
        </w:rPr>
        <w:t xml:space="preserve">Trường hợp có thời gian đóng </w:t>
      </w:r>
      <w:r w:rsidRPr="00F16379">
        <w:rPr>
          <w:color w:val="000000"/>
          <w:lang w:val="vi-VN"/>
        </w:rPr>
        <w:t>BHXH</w:t>
      </w:r>
      <w:r w:rsidRPr="00AE2565">
        <w:rPr>
          <w:color w:val="000000"/>
          <w:lang w:val="vi-VN"/>
        </w:rPr>
        <w:t xml:space="preserve"> </w:t>
      </w:r>
      <w:r w:rsidR="00CF3FBC" w:rsidRPr="00AE2565">
        <w:rPr>
          <w:color w:val="000000"/>
          <w:lang w:val="vi-VN"/>
        </w:rPr>
        <w:t xml:space="preserve">cả trước và sau ngày 01 tháng 01 năm 2014 mà thời gian trước ngày 01 tháng 01 năm 2014 có tháng lẻ thì những tháng lẻ đó được chuyển sang giai đoạn đóng </w:t>
      </w:r>
      <w:r w:rsidRPr="00F16379">
        <w:rPr>
          <w:color w:val="000000"/>
          <w:lang w:val="vi-VN"/>
        </w:rPr>
        <w:t>BHXH</w:t>
      </w:r>
      <w:r w:rsidR="00CF3FBC" w:rsidRPr="00AE2565">
        <w:rPr>
          <w:color w:val="000000"/>
          <w:lang w:val="vi-VN"/>
        </w:rPr>
        <w:t xml:space="preserve"> sau ngày 01 tháng 01 năm 2014 trở đi để làm cơ sở tính trợ cấp tuất một lần</w:t>
      </w:r>
      <w:r w:rsidR="00CF3FBC" w:rsidRPr="00706ADA">
        <w:rPr>
          <w:color w:val="000000"/>
          <w:lang w:val="vi-VN"/>
        </w:rPr>
        <w:t>.</w:t>
      </w:r>
    </w:p>
    <w:p w:rsidR="00CF3FBC" w:rsidRPr="00F16379" w:rsidRDefault="008F3104" w:rsidP="00661557">
      <w:pPr>
        <w:shd w:val="clear" w:color="auto" w:fill="FFFFFF"/>
        <w:spacing w:before="120" w:after="120"/>
        <w:ind w:firstLine="851"/>
        <w:jc w:val="both"/>
        <w:rPr>
          <w:color w:val="000000"/>
          <w:lang w:val="vi-VN"/>
        </w:rPr>
      </w:pPr>
      <w:r w:rsidRPr="00F16379">
        <w:rPr>
          <w:color w:val="000000"/>
          <w:lang w:val="vi-VN"/>
        </w:rPr>
        <w:t>-</w:t>
      </w:r>
      <w:r w:rsidR="00CF3FBC" w:rsidRPr="003628E8">
        <w:rPr>
          <w:color w:val="000000"/>
          <w:lang w:val="vi-VN"/>
        </w:rPr>
        <w:t> </w:t>
      </w:r>
      <w:r w:rsidR="00CF3FBC" w:rsidRPr="00AE2565">
        <w:rPr>
          <w:color w:val="000000"/>
          <w:lang w:val="vi-VN"/>
        </w:rPr>
        <w:t xml:space="preserve">Mức trợ cấp tuất một lần đối với đối với người đang đóng </w:t>
      </w:r>
      <w:r w:rsidRPr="00F16379">
        <w:rPr>
          <w:color w:val="000000"/>
          <w:lang w:val="vi-VN"/>
        </w:rPr>
        <w:t>BHXH</w:t>
      </w:r>
      <w:r w:rsidR="00CF3FBC" w:rsidRPr="00AE2565">
        <w:rPr>
          <w:color w:val="000000"/>
          <w:lang w:val="vi-VN"/>
        </w:rPr>
        <w:t xml:space="preserve"> hoặc đang bảo lưu thời gian đóng </w:t>
      </w:r>
      <w:r w:rsidRPr="00F16379">
        <w:rPr>
          <w:color w:val="000000"/>
          <w:lang w:val="vi-VN"/>
        </w:rPr>
        <w:t>BHXH</w:t>
      </w:r>
      <w:r w:rsidR="00CF3FBC" w:rsidRPr="00AE2565">
        <w:rPr>
          <w:color w:val="000000"/>
          <w:lang w:val="vi-VN"/>
        </w:rPr>
        <w:t xml:space="preserve"> chết thấp nhất bằng 03 tháng bình quân tiền lương tháng đóng </w:t>
      </w:r>
      <w:r w:rsidRPr="00F16379">
        <w:rPr>
          <w:color w:val="000000"/>
          <w:lang w:val="vi-VN"/>
        </w:rPr>
        <w:t>BHXH</w:t>
      </w:r>
      <w:r w:rsidR="00CF3FBC" w:rsidRPr="00AE2565">
        <w:rPr>
          <w:color w:val="000000"/>
          <w:lang w:val="vi-VN"/>
        </w:rPr>
        <w:t xml:space="preserve"> trước khi người lao động ch</w:t>
      </w:r>
      <w:r w:rsidR="00CF3FBC" w:rsidRPr="003628E8">
        <w:rPr>
          <w:color w:val="000000"/>
          <w:lang w:val="vi-VN"/>
        </w:rPr>
        <w:t>ế</w:t>
      </w:r>
      <w:r w:rsidR="00CF3FBC" w:rsidRPr="00AE2565">
        <w:rPr>
          <w:color w:val="000000"/>
          <w:lang w:val="vi-VN"/>
        </w:rPr>
        <w:t>t</w:t>
      </w:r>
      <w:r w:rsidR="00CF3FBC" w:rsidRPr="003628E8">
        <w:rPr>
          <w:color w:val="000000"/>
          <w:lang w:val="vi-VN"/>
        </w:rPr>
        <w:t>.</w:t>
      </w:r>
    </w:p>
    <w:p w:rsidR="00CF3FBC" w:rsidRPr="00F16379" w:rsidRDefault="008F3104" w:rsidP="00661557">
      <w:pPr>
        <w:shd w:val="clear" w:color="auto" w:fill="FFFFFF"/>
        <w:spacing w:before="120" w:after="120"/>
        <w:ind w:firstLine="851"/>
        <w:jc w:val="both"/>
        <w:rPr>
          <w:color w:val="000000"/>
          <w:lang w:val="vi-VN"/>
        </w:rPr>
      </w:pPr>
      <w:r w:rsidRPr="00F16379">
        <w:rPr>
          <w:color w:val="000000"/>
          <w:lang w:val="vi-VN"/>
        </w:rPr>
        <w:t>-</w:t>
      </w:r>
      <w:r w:rsidR="00CF3FBC" w:rsidRPr="00F16379">
        <w:rPr>
          <w:color w:val="000000"/>
          <w:lang w:val="vi-VN"/>
        </w:rPr>
        <w:t xml:space="preserve"> Trường hợp thân nhân người lao động đã được giải quyết hưởng trợ cấp tuất một lần hoặc trợ cấp tuất hằng tháng theo đúng quy định của pháp luật thì không trả lại trợ cấp tuất một lần hoặc trợ cấp tuất hằng tháng để giải quyết hưởng lại trợ cấp tuất hằng tháng hoặc trợ cấp tuất một lần.</w:t>
      </w:r>
    </w:p>
    <w:p w:rsidR="00BF5AD5" w:rsidRDefault="00BF5AD5" w:rsidP="00661557">
      <w:pPr>
        <w:spacing w:before="120" w:after="120"/>
        <w:ind w:firstLine="851"/>
        <w:jc w:val="both"/>
        <w:rPr>
          <w:b/>
        </w:rPr>
      </w:pPr>
    </w:p>
    <w:p w:rsidR="00821399" w:rsidRPr="00821399" w:rsidRDefault="0075154F" w:rsidP="00661557">
      <w:pPr>
        <w:spacing w:before="120" w:after="120"/>
        <w:ind w:firstLine="851"/>
        <w:jc w:val="both"/>
        <w:rPr>
          <w:b/>
        </w:rPr>
      </w:pPr>
      <w:bookmarkStart w:id="3" w:name="_GoBack"/>
      <w:bookmarkEnd w:id="3"/>
      <w:r w:rsidRPr="000F3672">
        <w:rPr>
          <w:b/>
          <w:lang w:val="vi-VN"/>
        </w:rPr>
        <w:lastRenderedPageBreak/>
        <w:t>2.2.</w:t>
      </w:r>
      <w:r w:rsidR="000F3672" w:rsidRPr="000F3672">
        <w:rPr>
          <w:b/>
          <w:lang w:val="vi-VN"/>
        </w:rPr>
        <w:t xml:space="preserve"> Chương III. Qu</w:t>
      </w:r>
      <w:r w:rsidR="00821399">
        <w:rPr>
          <w:b/>
        </w:rPr>
        <w:t>ản lý thu, đóng BHXH</w:t>
      </w:r>
    </w:p>
    <w:p w:rsidR="000F3672" w:rsidRPr="00F16379" w:rsidRDefault="000F3672" w:rsidP="00661557">
      <w:pPr>
        <w:spacing w:before="120" w:after="120"/>
        <w:ind w:firstLine="851"/>
        <w:jc w:val="both"/>
        <w:rPr>
          <w:bCs/>
          <w:color w:val="000000"/>
          <w:lang w:val="vi-VN"/>
        </w:rPr>
      </w:pPr>
      <w:r w:rsidRPr="004753CC">
        <w:rPr>
          <w:lang w:val="vi-VN"/>
        </w:rPr>
        <w:t xml:space="preserve">Chương này gồm </w:t>
      </w:r>
      <w:r w:rsidR="00821399">
        <w:t>3</w:t>
      </w:r>
      <w:r w:rsidRPr="004753CC">
        <w:rPr>
          <w:lang w:val="vi-VN"/>
        </w:rPr>
        <w:t xml:space="preserve"> điều</w:t>
      </w:r>
      <w:r w:rsidR="00821399">
        <w:t xml:space="preserve"> (Điều 21, Điều 22 và Điều 23), hướng dẫn về mức đóng, phương thức đóng, thời hạn đóng BHXH bắt buộc của người lao động và người sử dụng lao động; </w:t>
      </w:r>
      <w:r w:rsidR="00E843F2" w:rsidRPr="004753CC">
        <w:rPr>
          <w:bCs/>
          <w:color w:val="000000"/>
          <w:lang w:val="vi-VN"/>
        </w:rPr>
        <w:t>tạm dừng đóng BHXH</w:t>
      </w:r>
      <w:r w:rsidR="00E843F2" w:rsidRPr="00F16379">
        <w:rPr>
          <w:bCs/>
          <w:color w:val="000000"/>
          <w:lang w:val="vi-VN"/>
        </w:rPr>
        <w:t xml:space="preserve"> và q</w:t>
      </w:r>
      <w:r w:rsidRPr="000F3672">
        <w:rPr>
          <w:bCs/>
          <w:color w:val="000000"/>
          <w:lang w:val="vi-VN"/>
        </w:rPr>
        <w:t xml:space="preserve">uản lý, sử dụng quỹ </w:t>
      </w:r>
      <w:r w:rsidR="00D126D0">
        <w:rPr>
          <w:bCs/>
          <w:color w:val="000000"/>
          <w:lang w:val="vi-VN"/>
        </w:rPr>
        <w:t>BHXH</w:t>
      </w:r>
      <w:r w:rsidR="00821399">
        <w:rPr>
          <w:bCs/>
          <w:color w:val="000000"/>
        </w:rPr>
        <w:t xml:space="preserve"> trong Bộ Công an</w:t>
      </w:r>
      <w:r w:rsidR="00F356BF">
        <w:rPr>
          <w:bCs/>
          <w:color w:val="000000"/>
        </w:rPr>
        <w:t>, cụ thể:</w:t>
      </w:r>
    </w:p>
    <w:p w:rsidR="00B058D7" w:rsidRDefault="00E843F2" w:rsidP="00661557">
      <w:pPr>
        <w:shd w:val="clear" w:color="auto" w:fill="FFFFFF"/>
        <w:spacing w:before="120" w:after="120"/>
        <w:ind w:firstLine="851"/>
        <w:jc w:val="both"/>
        <w:rPr>
          <w:bCs/>
          <w:color w:val="000000"/>
        </w:rPr>
      </w:pPr>
      <w:r w:rsidRPr="0029692C">
        <w:rPr>
          <w:b/>
          <w:bCs/>
          <w:color w:val="000000"/>
          <w:lang w:val="vi-VN"/>
        </w:rPr>
        <w:t xml:space="preserve">a) </w:t>
      </w:r>
      <w:r w:rsidR="00B058D7" w:rsidRPr="0029692C">
        <w:rPr>
          <w:b/>
          <w:bCs/>
          <w:color w:val="000000"/>
        </w:rPr>
        <w:t>M</w:t>
      </w:r>
      <w:r w:rsidR="00B058D7" w:rsidRPr="0029692C">
        <w:rPr>
          <w:b/>
        </w:rPr>
        <w:t>ức đóng, phương thức đóng, thời hạn đóng BHXH bắt buộc của người lao động và người sử dụng lao động</w:t>
      </w:r>
      <w:r w:rsidR="00661557" w:rsidRPr="0029692C">
        <w:rPr>
          <w:b/>
        </w:rPr>
        <w:t xml:space="preserve"> (Điều 21)</w:t>
      </w:r>
      <w:r w:rsidR="00B058D7" w:rsidRPr="0029692C">
        <w:rPr>
          <w:b/>
          <w:bCs/>
          <w:color w:val="000000"/>
          <w:lang w:val="vi-VN"/>
        </w:rPr>
        <w:t xml:space="preserve"> </w:t>
      </w:r>
      <w:r w:rsidR="00B058D7">
        <w:rPr>
          <w:bCs/>
          <w:color w:val="000000"/>
        </w:rPr>
        <w:t>được thực hiện theo Điều 33, Điều 34 Luật BHXH và Điều 8 Nghị định số 157/2025/NĐ-CP, trong đó hướng rõ một số nội dung:</w:t>
      </w:r>
    </w:p>
    <w:p w:rsidR="00B058D7" w:rsidRPr="00B058D7" w:rsidRDefault="00B058D7" w:rsidP="00661557">
      <w:pPr>
        <w:shd w:val="clear" w:color="auto" w:fill="FFFFFF"/>
        <w:spacing w:before="120" w:after="120"/>
        <w:ind w:firstLine="851"/>
        <w:jc w:val="both"/>
        <w:rPr>
          <w:bCs/>
          <w:color w:val="000000"/>
          <w:spacing w:val="-2"/>
        </w:rPr>
      </w:pPr>
      <w:r w:rsidRPr="00B058D7">
        <w:rPr>
          <w:bCs/>
          <w:color w:val="000000"/>
          <w:spacing w:val="-2"/>
        </w:rPr>
        <w:t xml:space="preserve">- </w:t>
      </w:r>
      <w:r w:rsidR="00CB143B">
        <w:rPr>
          <w:bCs/>
          <w:color w:val="000000"/>
          <w:spacing w:val="-2"/>
        </w:rPr>
        <w:t>H</w:t>
      </w:r>
      <w:r w:rsidRPr="00B058D7">
        <w:rPr>
          <w:bCs/>
          <w:color w:val="000000"/>
          <w:spacing w:val="-2"/>
        </w:rPr>
        <w:t xml:space="preserve">ạ sĩ quan, chiến sĩ nghĩa vụ và học viên CAND hưởng sinh hoạt phí được Bộ Công an đóng </w:t>
      </w:r>
      <w:r w:rsidRPr="00B058D7">
        <w:rPr>
          <w:spacing w:val="-2"/>
        </w:rPr>
        <w:t>BHXH</w:t>
      </w:r>
      <w:r w:rsidRPr="00B058D7">
        <w:rPr>
          <w:bCs/>
          <w:color w:val="000000"/>
          <w:spacing w:val="-2"/>
        </w:rPr>
        <w:t xml:space="preserve"> bắt buộc hằng tháng theo quy định tại khoản 2 Điều 34 Luật </w:t>
      </w:r>
      <w:r w:rsidRPr="00B058D7">
        <w:rPr>
          <w:spacing w:val="-2"/>
        </w:rPr>
        <w:t>BHXH</w:t>
      </w:r>
      <w:r w:rsidRPr="00B058D7">
        <w:rPr>
          <w:bCs/>
          <w:color w:val="000000"/>
          <w:spacing w:val="-2"/>
        </w:rPr>
        <w:t xml:space="preserve"> và Điều 6 Nghị định số 157/2025/NĐ-CP, trong hai năm đầu (24 tháng) tính từ tháng tham gia nghĩa vụ CAND hoặc tháng nhập học các trường CAND bằng 22% của 02 lần mức tham chiếu; sau đó cứ mỗi năm tiếp theo (12 tháng) tăng thêm 0,5 lần mức tham chiếu, tối đa bằng 04 lần mức tham chiếu.</w:t>
      </w:r>
    </w:p>
    <w:p w:rsidR="00B058D7" w:rsidRPr="00E600CA" w:rsidRDefault="00B058D7" w:rsidP="00661557">
      <w:pPr>
        <w:shd w:val="clear" w:color="auto" w:fill="FFFFFF"/>
        <w:spacing w:before="120" w:after="120"/>
        <w:ind w:firstLine="851"/>
        <w:jc w:val="both"/>
        <w:rPr>
          <w:bCs/>
          <w:color w:val="000000"/>
        </w:rPr>
      </w:pPr>
      <w:r>
        <w:rPr>
          <w:bCs/>
          <w:color w:val="000000"/>
        </w:rPr>
        <w:t xml:space="preserve">- </w:t>
      </w:r>
      <w:r w:rsidR="00CB143B">
        <w:rPr>
          <w:bCs/>
          <w:color w:val="000000"/>
        </w:rPr>
        <w:t>S</w:t>
      </w:r>
      <w:r>
        <w:rPr>
          <w:bCs/>
          <w:color w:val="000000"/>
        </w:rPr>
        <w:t xml:space="preserve">ĩ quan, hạ sĩ quan hưởng lương bị ốm đau phải nghỉ việc mà không hưởng tiền lương từ 14 ngày làm việc trở lên trong tháng do thực hiện nhiệm vụ, phòng chống thiên tai, hỏa hoạn, dịch bệnh, cứu hộ, cứu nạn thì người lao động có trách nhiệm đóng </w:t>
      </w:r>
      <w:r>
        <w:t>BHXH</w:t>
      </w:r>
      <w:r>
        <w:rPr>
          <w:bCs/>
          <w:color w:val="000000"/>
        </w:rPr>
        <w:t xml:space="preserve"> theo quy định tại khoản 1 Điều 33 Luật </w:t>
      </w:r>
      <w:r>
        <w:t>BHXH</w:t>
      </w:r>
      <w:r>
        <w:rPr>
          <w:bCs/>
          <w:color w:val="000000"/>
        </w:rPr>
        <w:t xml:space="preserve">; Công an đơn vị, địa phương thực hiện đóng </w:t>
      </w:r>
      <w:r>
        <w:t>BHXH</w:t>
      </w:r>
      <w:r>
        <w:rPr>
          <w:bCs/>
          <w:color w:val="000000"/>
        </w:rPr>
        <w:t xml:space="preserve"> theo quy định tại khoản 1 Điều 34 Luật </w:t>
      </w:r>
      <w:r>
        <w:t>BHXH</w:t>
      </w:r>
      <w:r>
        <w:rPr>
          <w:bCs/>
          <w:color w:val="000000"/>
        </w:rPr>
        <w:t xml:space="preserve"> do ngân sách nhà nước đảm bảo. Thời gian này được tính là thời gian tham gia </w:t>
      </w:r>
      <w:r>
        <w:t>BHXH</w:t>
      </w:r>
      <w:r>
        <w:rPr>
          <w:bCs/>
          <w:color w:val="000000"/>
        </w:rPr>
        <w:t>.</w:t>
      </w:r>
    </w:p>
    <w:p w:rsidR="00E843F2" w:rsidRPr="00F82C28" w:rsidRDefault="00B058D7" w:rsidP="00661557">
      <w:pPr>
        <w:shd w:val="clear" w:color="auto" w:fill="FFFFFF"/>
        <w:spacing w:before="120" w:after="120"/>
        <w:ind w:firstLine="851"/>
        <w:jc w:val="both"/>
        <w:rPr>
          <w:b/>
          <w:color w:val="000000"/>
        </w:rPr>
      </w:pPr>
      <w:r w:rsidRPr="00F82C28">
        <w:rPr>
          <w:b/>
          <w:bCs/>
          <w:color w:val="000000"/>
        </w:rPr>
        <w:t xml:space="preserve">b) </w:t>
      </w:r>
      <w:r w:rsidR="00E843F2" w:rsidRPr="00F82C28">
        <w:rPr>
          <w:b/>
          <w:bCs/>
          <w:color w:val="000000"/>
          <w:lang w:val="vi-VN"/>
        </w:rPr>
        <w:t xml:space="preserve">Tạm dừng đóng </w:t>
      </w:r>
      <w:r w:rsidR="00DB0D2B" w:rsidRPr="00F82C28">
        <w:rPr>
          <w:b/>
          <w:bCs/>
          <w:color w:val="000000"/>
          <w:lang w:val="vi-VN"/>
        </w:rPr>
        <w:t>BHXH</w:t>
      </w:r>
      <w:r w:rsidR="00F356BF" w:rsidRPr="00F82C28">
        <w:rPr>
          <w:b/>
          <w:bCs/>
          <w:color w:val="000000"/>
        </w:rPr>
        <w:t xml:space="preserve"> (Điều 22)</w:t>
      </w:r>
    </w:p>
    <w:p w:rsidR="00B058D7" w:rsidRDefault="00E843F2" w:rsidP="00B63698">
      <w:pPr>
        <w:shd w:val="clear" w:color="auto" w:fill="FFFFFF"/>
        <w:spacing w:before="120" w:after="120"/>
        <w:ind w:firstLine="851"/>
        <w:jc w:val="both"/>
        <w:rPr>
          <w:color w:val="000000"/>
          <w:lang w:val="vi-VN"/>
        </w:rPr>
      </w:pPr>
      <w:r w:rsidRPr="00F16379">
        <w:rPr>
          <w:color w:val="000000"/>
          <w:lang w:val="vi-VN"/>
        </w:rPr>
        <w:t>-</w:t>
      </w:r>
      <w:r w:rsidRPr="003628E8">
        <w:rPr>
          <w:color w:val="000000"/>
          <w:lang w:val="vi-VN"/>
        </w:rPr>
        <w:t> </w:t>
      </w:r>
      <w:r w:rsidR="00B63698">
        <w:rPr>
          <w:color w:val="000000"/>
        </w:rPr>
        <w:t>Hướng dẫn cụ thể vè t</w:t>
      </w:r>
      <w:r w:rsidRPr="00AE2565">
        <w:rPr>
          <w:color w:val="000000"/>
          <w:lang w:val="vi-VN"/>
        </w:rPr>
        <w:t xml:space="preserve">rình tự, thủ tục, thẩm quyền và thời hạn xác định số lao động thuộc diện tham gia </w:t>
      </w:r>
      <w:r w:rsidRPr="00F16379">
        <w:rPr>
          <w:color w:val="000000"/>
          <w:lang w:val="vi-VN"/>
        </w:rPr>
        <w:t>BHXH</w:t>
      </w:r>
      <w:r w:rsidRPr="00AE2565">
        <w:rPr>
          <w:color w:val="000000"/>
          <w:lang w:val="vi-VN"/>
        </w:rPr>
        <w:t xml:space="preserve"> bắt buộc tạm thời ngh</w:t>
      </w:r>
      <w:r w:rsidRPr="003628E8">
        <w:rPr>
          <w:color w:val="000000"/>
          <w:lang w:val="vi-VN"/>
        </w:rPr>
        <w:t>ỉ</w:t>
      </w:r>
      <w:r w:rsidRPr="00AE2565">
        <w:rPr>
          <w:color w:val="000000"/>
          <w:lang w:val="vi-VN"/>
        </w:rPr>
        <w:t> việc, giá trị tài sản bị thiệt hại quy định tại </w:t>
      </w:r>
      <w:bookmarkStart w:id="4" w:name="dc_88"/>
      <w:r w:rsidR="00B058D7">
        <w:rPr>
          <w:color w:val="000000"/>
        </w:rPr>
        <w:t>k</w:t>
      </w:r>
      <w:r w:rsidRPr="00AE2565">
        <w:rPr>
          <w:color w:val="000000"/>
          <w:lang w:val="vi-VN"/>
        </w:rPr>
        <w:t xml:space="preserve">hoản 2 Điều </w:t>
      </w:r>
      <w:r w:rsidR="00B058D7">
        <w:rPr>
          <w:color w:val="000000"/>
        </w:rPr>
        <w:t>9</w:t>
      </w:r>
      <w:r>
        <w:rPr>
          <w:color w:val="000000"/>
          <w:lang w:val="vi-VN"/>
        </w:rPr>
        <w:t xml:space="preserve"> Nghị định số </w:t>
      </w:r>
      <w:r w:rsidR="00B058D7">
        <w:rPr>
          <w:color w:val="000000"/>
        </w:rPr>
        <w:t>157</w:t>
      </w:r>
      <w:r w:rsidRPr="00AE2565">
        <w:rPr>
          <w:color w:val="000000"/>
          <w:lang w:val="vi-VN"/>
        </w:rPr>
        <w:t>/20</w:t>
      </w:r>
      <w:r w:rsidRPr="003628E8">
        <w:rPr>
          <w:color w:val="000000"/>
          <w:lang w:val="vi-VN"/>
        </w:rPr>
        <w:t>25</w:t>
      </w:r>
      <w:r w:rsidRPr="00AE2565">
        <w:rPr>
          <w:color w:val="000000"/>
          <w:lang w:val="vi-VN"/>
        </w:rPr>
        <w:t>/NĐ-CP</w:t>
      </w:r>
      <w:bookmarkEnd w:id="4"/>
      <w:r w:rsidRPr="00AE2565">
        <w:rPr>
          <w:color w:val="000000"/>
          <w:lang w:val="vi-VN"/>
        </w:rPr>
        <w:t> </w:t>
      </w:r>
    </w:p>
    <w:p w:rsidR="00E843F2" w:rsidRPr="003628E8" w:rsidRDefault="00E843F2" w:rsidP="00661557">
      <w:pPr>
        <w:shd w:val="clear" w:color="auto" w:fill="FFFFFF"/>
        <w:spacing w:before="120" w:after="120"/>
        <w:ind w:firstLine="851"/>
        <w:jc w:val="both"/>
        <w:rPr>
          <w:color w:val="000000"/>
          <w:lang w:val="vi-VN"/>
        </w:rPr>
      </w:pPr>
      <w:r w:rsidRPr="00F16379">
        <w:rPr>
          <w:bCs/>
          <w:color w:val="000000"/>
          <w:lang w:val="vi-VN"/>
        </w:rPr>
        <w:t>-</w:t>
      </w:r>
      <w:r w:rsidRPr="003628E8">
        <w:rPr>
          <w:color w:val="000000"/>
          <w:lang w:val="vi-VN"/>
        </w:rPr>
        <w:t> </w:t>
      </w:r>
      <w:r w:rsidR="00B63698">
        <w:rPr>
          <w:color w:val="000000"/>
        </w:rPr>
        <w:t>Việc t</w:t>
      </w:r>
      <w:r w:rsidRPr="00AE2565">
        <w:rPr>
          <w:color w:val="000000"/>
          <w:lang w:val="vi-VN"/>
        </w:rPr>
        <w:t xml:space="preserve">ạm dừng đóng </w:t>
      </w:r>
      <w:r w:rsidR="00DB0D2B" w:rsidRPr="00DB0D2B">
        <w:rPr>
          <w:color w:val="000000"/>
          <w:lang w:val="vi-VN"/>
        </w:rPr>
        <w:t xml:space="preserve">BHXH </w:t>
      </w:r>
      <w:r w:rsidRPr="00AE2565">
        <w:rPr>
          <w:color w:val="000000"/>
          <w:lang w:val="vi-VN"/>
        </w:rPr>
        <w:t xml:space="preserve">đối với người lao động đang tham gia </w:t>
      </w:r>
      <w:r w:rsidR="00EA5254" w:rsidRPr="00EA5254">
        <w:rPr>
          <w:color w:val="000000"/>
          <w:lang w:val="vi-VN"/>
        </w:rPr>
        <w:t>BHXH</w:t>
      </w:r>
      <w:r w:rsidRPr="00AE2565">
        <w:rPr>
          <w:color w:val="000000"/>
          <w:lang w:val="vi-VN"/>
        </w:rPr>
        <w:t xml:space="preserve"> bắt buộc mà bị tạm giam</w:t>
      </w:r>
      <w:r w:rsidRPr="003628E8">
        <w:rPr>
          <w:color w:val="000000"/>
          <w:lang w:val="vi-VN"/>
        </w:rPr>
        <w:t xml:space="preserve">, tạm đình chỉ công tác, đình chỉ công tác từ 14 ngày làm việc trở lên trong tháng được thực hiện </w:t>
      </w:r>
      <w:r w:rsidRPr="00AE2565">
        <w:rPr>
          <w:color w:val="000000"/>
          <w:lang w:val="vi-VN"/>
        </w:rPr>
        <w:t>theo quy định tại </w:t>
      </w:r>
      <w:bookmarkStart w:id="5" w:name="dc_90"/>
      <w:r w:rsidR="00474536" w:rsidRPr="00F16379">
        <w:rPr>
          <w:color w:val="000000"/>
          <w:lang w:val="vi-VN"/>
        </w:rPr>
        <w:t>k</w:t>
      </w:r>
      <w:r w:rsidRPr="00AE2565">
        <w:rPr>
          <w:color w:val="000000"/>
          <w:lang w:val="vi-VN"/>
        </w:rPr>
        <w:t xml:space="preserve">hoản </w:t>
      </w:r>
      <w:r w:rsidR="00F356BF">
        <w:rPr>
          <w:color w:val="000000"/>
        </w:rPr>
        <w:t>6</w:t>
      </w:r>
      <w:r w:rsidRPr="00AE2565">
        <w:rPr>
          <w:color w:val="000000"/>
          <w:lang w:val="vi-VN"/>
        </w:rPr>
        <w:t xml:space="preserve"> Điều </w:t>
      </w:r>
      <w:r w:rsidR="00F356BF">
        <w:rPr>
          <w:color w:val="000000"/>
        </w:rPr>
        <w:t>9</w:t>
      </w:r>
      <w:r w:rsidRPr="00AE2565">
        <w:rPr>
          <w:color w:val="000000"/>
          <w:lang w:val="vi-VN"/>
        </w:rPr>
        <w:t xml:space="preserve"> Nghị định số </w:t>
      </w:r>
      <w:r w:rsidR="00F356BF">
        <w:rPr>
          <w:color w:val="000000"/>
        </w:rPr>
        <w:t>157</w:t>
      </w:r>
      <w:r w:rsidRPr="00AE2565">
        <w:rPr>
          <w:color w:val="000000"/>
          <w:lang w:val="vi-VN"/>
        </w:rPr>
        <w:t>/20</w:t>
      </w:r>
      <w:r w:rsidRPr="003628E8">
        <w:rPr>
          <w:color w:val="000000"/>
          <w:lang w:val="vi-VN"/>
        </w:rPr>
        <w:t>25</w:t>
      </w:r>
      <w:r w:rsidRPr="00AE2565">
        <w:rPr>
          <w:color w:val="000000"/>
          <w:lang w:val="vi-VN"/>
        </w:rPr>
        <w:t>/NĐ-CP</w:t>
      </w:r>
      <w:bookmarkEnd w:id="5"/>
      <w:r w:rsidRPr="00AE2565">
        <w:rPr>
          <w:color w:val="000000"/>
          <w:lang w:val="vi-VN"/>
        </w:rPr>
        <w:t>.</w:t>
      </w:r>
    </w:p>
    <w:p w:rsidR="00E843F2" w:rsidRPr="00661557" w:rsidRDefault="00F356BF" w:rsidP="00661557">
      <w:pPr>
        <w:shd w:val="clear" w:color="auto" w:fill="FFFFFF"/>
        <w:spacing w:before="120" w:after="120"/>
        <w:ind w:firstLine="851"/>
        <w:jc w:val="both"/>
        <w:rPr>
          <w:b/>
          <w:color w:val="000000"/>
          <w:lang w:val="vi-VN"/>
        </w:rPr>
      </w:pPr>
      <w:r w:rsidRPr="00661557">
        <w:rPr>
          <w:b/>
          <w:bCs/>
          <w:color w:val="000000"/>
        </w:rPr>
        <w:t>c</w:t>
      </w:r>
      <w:r w:rsidR="00DD2F76" w:rsidRPr="00661557">
        <w:rPr>
          <w:b/>
          <w:bCs/>
          <w:color w:val="000000"/>
          <w:lang w:val="vi-VN"/>
        </w:rPr>
        <w:t>)</w:t>
      </w:r>
      <w:r w:rsidR="00E843F2" w:rsidRPr="00661557">
        <w:rPr>
          <w:b/>
          <w:bCs/>
          <w:color w:val="000000"/>
          <w:lang w:val="vi-VN"/>
        </w:rPr>
        <w:t xml:space="preserve"> Quản lý, sử dụng quỹ </w:t>
      </w:r>
      <w:r w:rsidR="00DB0D2B" w:rsidRPr="00661557">
        <w:rPr>
          <w:b/>
          <w:bCs/>
          <w:color w:val="000000"/>
          <w:lang w:val="vi-VN"/>
        </w:rPr>
        <w:t xml:space="preserve">BHXH </w:t>
      </w:r>
      <w:r w:rsidR="00E843F2" w:rsidRPr="00661557">
        <w:rPr>
          <w:b/>
          <w:bCs/>
          <w:color w:val="000000"/>
          <w:lang w:val="vi-VN"/>
        </w:rPr>
        <w:t>trong Bộ Công an</w:t>
      </w:r>
      <w:r w:rsidR="00DD2F76" w:rsidRPr="00661557">
        <w:rPr>
          <w:b/>
          <w:bCs/>
          <w:color w:val="000000"/>
          <w:lang w:val="vi-VN"/>
        </w:rPr>
        <w:t xml:space="preserve"> </w:t>
      </w:r>
      <w:r w:rsidRPr="00661557">
        <w:rPr>
          <w:b/>
          <w:bCs/>
          <w:color w:val="000000"/>
        </w:rPr>
        <w:t>(Điều 23)</w:t>
      </w:r>
    </w:p>
    <w:p w:rsidR="00E843F2" w:rsidRPr="00637318" w:rsidRDefault="00DD2F76" w:rsidP="00661557">
      <w:pPr>
        <w:shd w:val="clear" w:color="auto" w:fill="FFFFFF"/>
        <w:spacing w:before="120" w:after="120"/>
        <w:ind w:firstLine="851"/>
        <w:jc w:val="both"/>
        <w:rPr>
          <w:color w:val="000000"/>
          <w:spacing w:val="-2"/>
          <w:lang w:val="vi-VN"/>
        </w:rPr>
      </w:pPr>
      <w:r w:rsidRPr="00F16379">
        <w:rPr>
          <w:color w:val="000000"/>
          <w:lang w:val="vi-VN"/>
        </w:rPr>
        <w:t>-</w:t>
      </w:r>
      <w:r w:rsidR="00E843F2" w:rsidRPr="003628E8">
        <w:rPr>
          <w:color w:val="000000"/>
          <w:lang w:val="vi-VN"/>
        </w:rPr>
        <w:t> </w:t>
      </w:r>
      <w:r w:rsidR="00CB143B">
        <w:rPr>
          <w:color w:val="000000"/>
        </w:rPr>
        <w:t>Hướng dẫn cụ thể các n</w:t>
      </w:r>
      <w:r w:rsidR="00E843F2" w:rsidRPr="00005A8C">
        <w:rPr>
          <w:color w:val="000000"/>
          <w:lang w:val="vi-VN"/>
        </w:rPr>
        <w:t xml:space="preserve">ội dung sử dụng quỹ </w:t>
      </w:r>
      <w:r w:rsidR="00EA5254" w:rsidRPr="00EA5254">
        <w:rPr>
          <w:color w:val="000000"/>
          <w:lang w:val="vi-VN"/>
        </w:rPr>
        <w:t>BHXH</w:t>
      </w:r>
      <w:r w:rsidR="00E843F2" w:rsidRPr="00005A8C">
        <w:rPr>
          <w:color w:val="000000"/>
          <w:lang w:val="vi-VN"/>
        </w:rPr>
        <w:t xml:space="preserve"> trong Bộ Công an </w:t>
      </w:r>
      <w:r w:rsidR="00E843F2" w:rsidRPr="003628E8">
        <w:rPr>
          <w:color w:val="000000"/>
          <w:lang w:val="vi-VN"/>
        </w:rPr>
        <w:t>the</w:t>
      </w:r>
      <w:r w:rsidR="000B2B0A">
        <w:rPr>
          <w:color w:val="000000"/>
          <w:lang w:val="vi-VN"/>
        </w:rPr>
        <w:t xml:space="preserve">o Điều 119 Luật </w:t>
      </w:r>
      <w:r w:rsidR="00EA5254" w:rsidRPr="00EA5254">
        <w:rPr>
          <w:color w:val="000000"/>
          <w:lang w:val="vi-VN"/>
        </w:rPr>
        <w:t xml:space="preserve">BHXH </w:t>
      </w:r>
      <w:r w:rsidR="00E843F2" w:rsidRPr="003628E8">
        <w:rPr>
          <w:color w:val="000000"/>
          <w:lang w:val="vi-VN"/>
        </w:rPr>
        <w:t xml:space="preserve">dùng để chi trả các chế độ </w:t>
      </w:r>
      <w:r w:rsidR="00EA5254" w:rsidRPr="00EA5254">
        <w:rPr>
          <w:color w:val="000000"/>
          <w:lang w:val="vi-VN"/>
        </w:rPr>
        <w:t xml:space="preserve">BHXH </w:t>
      </w:r>
      <w:r w:rsidR="00E843F2" w:rsidRPr="003628E8">
        <w:rPr>
          <w:color w:val="000000"/>
          <w:lang w:val="vi-VN"/>
        </w:rPr>
        <w:t>bắt buộc đối với người lao động</w:t>
      </w:r>
      <w:r w:rsidR="00E843F2" w:rsidRPr="00637318">
        <w:rPr>
          <w:color w:val="000000"/>
          <w:spacing w:val="-2"/>
          <w:lang w:val="vi-VN"/>
        </w:rPr>
        <w:t>.</w:t>
      </w:r>
    </w:p>
    <w:p w:rsidR="00E843F2" w:rsidRPr="003628E8" w:rsidRDefault="00766672" w:rsidP="00661557">
      <w:pPr>
        <w:shd w:val="clear" w:color="auto" w:fill="FFFFFF"/>
        <w:spacing w:before="120" w:after="120"/>
        <w:ind w:firstLine="851"/>
        <w:jc w:val="both"/>
        <w:rPr>
          <w:color w:val="000000"/>
          <w:lang w:val="vi-VN"/>
        </w:rPr>
      </w:pPr>
      <w:r w:rsidRPr="00F16379">
        <w:rPr>
          <w:color w:val="000000"/>
          <w:lang w:val="vi-VN"/>
        </w:rPr>
        <w:t>-</w:t>
      </w:r>
      <w:r w:rsidR="00E843F2" w:rsidRPr="003628E8">
        <w:rPr>
          <w:color w:val="000000"/>
          <w:lang w:val="vi-VN"/>
        </w:rPr>
        <w:t> </w:t>
      </w:r>
      <w:r w:rsidR="00150172">
        <w:t>Cục Kế hoạch và tài chí</w:t>
      </w:r>
      <w:r w:rsidR="00F356BF" w:rsidRPr="00EB0F87">
        <w:t xml:space="preserve">nh có trách nhiệm quản lý toàn bộ phần tài chính </w:t>
      </w:r>
      <w:r w:rsidR="0056128C">
        <w:t>BHXH</w:t>
      </w:r>
      <w:r w:rsidR="00F356BF" w:rsidRPr="00EB0F87">
        <w:t>; kiểm tra, hướng dẫn về t</w:t>
      </w:r>
      <w:r w:rsidR="00F356BF">
        <w:t xml:space="preserve">hu, </w:t>
      </w:r>
      <w:r w:rsidR="00F356BF" w:rsidRPr="00EB0F87">
        <w:t xml:space="preserve">chi </w:t>
      </w:r>
      <w:r w:rsidR="0056128C">
        <w:t>BHXH</w:t>
      </w:r>
      <w:r w:rsidR="00F356BF" w:rsidRPr="00EB0F87">
        <w:t xml:space="preserve"> đối với tất cả các đối tượng đang phục vụ</w:t>
      </w:r>
      <w:r w:rsidR="00F356BF">
        <w:t xml:space="preserve"> trong </w:t>
      </w:r>
      <w:r w:rsidR="00150172">
        <w:t>CAND</w:t>
      </w:r>
      <w:r w:rsidR="00F356BF" w:rsidRPr="00EB0F87">
        <w:t xml:space="preserve"> trên cơ sở quy định chung và hướng dẫn của B</w:t>
      </w:r>
      <w:r w:rsidR="00F356BF">
        <w:t>ảo hiểm xã hội</w:t>
      </w:r>
      <w:r w:rsidR="00F356BF" w:rsidRPr="00EB0F87">
        <w:t xml:space="preserve"> Việt Nam. Hằng quý, nộp toàn bộ số thu </w:t>
      </w:r>
      <w:r w:rsidR="0056128C">
        <w:t>BHXH</w:t>
      </w:r>
      <w:r w:rsidR="00F356BF" w:rsidRPr="00EB0F87">
        <w:t xml:space="preserve"> và lãi phát sinh trên tài khoản thu vào quỹ </w:t>
      </w:r>
      <w:r w:rsidR="0056128C">
        <w:t>BHXH</w:t>
      </w:r>
      <w:r w:rsidR="00F356BF" w:rsidRPr="00EB0F87">
        <w:t xml:space="preserve"> do Bảo hiểm xã hội Việt Nam quản lý. Hằng quý, năm, thẩm định quyết toán của Công an đơn vị, địa phương; hằng </w:t>
      </w:r>
      <w:r w:rsidR="00F356BF" w:rsidRPr="00EB0F87">
        <w:lastRenderedPageBreak/>
        <w:t>năm</w:t>
      </w:r>
      <w:r w:rsidR="00101A24">
        <w:t>,</w:t>
      </w:r>
      <w:r w:rsidR="00F356BF" w:rsidRPr="00EB0F87">
        <w:t xml:space="preserve"> quyết toán với Bảo hiểm xã hội Việt Nam về các khoản thu, chi </w:t>
      </w:r>
      <w:r w:rsidR="0056128C">
        <w:t>BHXH</w:t>
      </w:r>
      <w:r w:rsidR="00F356BF" w:rsidRPr="00EB0F87">
        <w:t xml:space="preserve"> theo quy định hiện hành về quản lý tài chính </w:t>
      </w:r>
      <w:r w:rsidR="0056128C">
        <w:t>BHXH</w:t>
      </w:r>
      <w:r w:rsidR="00F356BF">
        <w:t>.</w:t>
      </w:r>
    </w:p>
    <w:p w:rsidR="000F3672" w:rsidRPr="00C41848" w:rsidRDefault="000F3672" w:rsidP="00661557">
      <w:pPr>
        <w:spacing w:before="120" w:after="120"/>
        <w:ind w:firstLine="851"/>
        <w:jc w:val="both"/>
        <w:rPr>
          <w:b/>
          <w:lang w:val="vi-VN"/>
        </w:rPr>
      </w:pPr>
      <w:r w:rsidRPr="00C41848">
        <w:rPr>
          <w:b/>
          <w:lang w:val="vi-VN"/>
        </w:rPr>
        <w:t>2.3. Chương IV</w:t>
      </w:r>
      <w:r w:rsidR="00C41848" w:rsidRPr="00C41848">
        <w:rPr>
          <w:b/>
          <w:lang w:val="vi-VN"/>
        </w:rPr>
        <w:t>. Điều khoản thi hành</w:t>
      </w:r>
    </w:p>
    <w:p w:rsidR="00C41848" w:rsidRPr="009E59D4" w:rsidRDefault="00C41848" w:rsidP="00661557">
      <w:pPr>
        <w:shd w:val="clear" w:color="auto" w:fill="FFFFFF"/>
        <w:spacing w:before="120" w:after="120"/>
        <w:ind w:firstLine="851"/>
        <w:jc w:val="both"/>
        <w:rPr>
          <w:color w:val="000000"/>
          <w:lang w:val="vi-VN"/>
        </w:rPr>
      </w:pPr>
      <w:r w:rsidRPr="00C41848">
        <w:rPr>
          <w:lang w:val="vi-VN"/>
        </w:rPr>
        <w:t>Chương này gồm 3 điều</w:t>
      </w:r>
      <w:r w:rsidR="00BB6446">
        <w:t xml:space="preserve"> (Điều 24, Điều 25 và Điều 26)</w:t>
      </w:r>
      <w:r w:rsidRPr="00C41848">
        <w:rPr>
          <w:lang w:val="vi-VN"/>
        </w:rPr>
        <w:t xml:space="preserve">, </w:t>
      </w:r>
      <w:r w:rsidRPr="00C41848">
        <w:rPr>
          <w:bCs/>
          <w:color w:val="000000"/>
          <w:lang w:val="vi-VN"/>
        </w:rPr>
        <w:t>quy định về</w:t>
      </w:r>
      <w:r w:rsidRPr="000F3672">
        <w:rPr>
          <w:bCs/>
          <w:color w:val="000000"/>
          <w:lang w:val="vi-VN"/>
        </w:rPr>
        <w:t xml:space="preserve"> </w:t>
      </w:r>
      <w:r w:rsidR="00711C06" w:rsidRPr="00C41848">
        <w:rPr>
          <w:bCs/>
          <w:color w:val="000000"/>
          <w:lang w:val="vi-VN"/>
        </w:rPr>
        <w:t>quy định chuyển tiếp</w:t>
      </w:r>
      <w:r w:rsidR="00711C06">
        <w:rPr>
          <w:bCs/>
          <w:color w:val="000000"/>
        </w:rPr>
        <w:t>,</w:t>
      </w:r>
      <w:r w:rsidR="00711C06" w:rsidRPr="00C41848">
        <w:rPr>
          <w:bCs/>
          <w:color w:val="000000"/>
          <w:lang w:val="vi-VN"/>
        </w:rPr>
        <w:t xml:space="preserve"> </w:t>
      </w:r>
      <w:r w:rsidRPr="00C41848">
        <w:rPr>
          <w:bCs/>
          <w:color w:val="000000"/>
          <w:lang w:val="vi-VN"/>
        </w:rPr>
        <w:t>hiệu lực thi hành</w:t>
      </w:r>
      <w:r w:rsidR="00711C06">
        <w:rPr>
          <w:bCs/>
          <w:color w:val="000000"/>
        </w:rPr>
        <w:t xml:space="preserve"> và</w:t>
      </w:r>
      <w:r w:rsidRPr="00C41848">
        <w:rPr>
          <w:bCs/>
          <w:color w:val="000000"/>
          <w:lang w:val="vi-VN"/>
        </w:rPr>
        <w:t xml:space="preserve"> trách nhiệm thi hành</w:t>
      </w:r>
      <w:r w:rsidR="009E59D4" w:rsidRPr="009E59D4">
        <w:rPr>
          <w:bCs/>
          <w:color w:val="000000"/>
          <w:lang w:val="vi-VN"/>
        </w:rPr>
        <w:t>.</w:t>
      </w:r>
    </w:p>
    <w:p w:rsidR="00101A24" w:rsidRPr="003744EB" w:rsidRDefault="00C41848" w:rsidP="00661557">
      <w:pPr>
        <w:spacing w:before="120" w:after="120"/>
        <w:ind w:firstLine="851"/>
        <w:jc w:val="both"/>
        <w:rPr>
          <w:color w:val="000000"/>
        </w:rPr>
      </w:pPr>
      <w:r w:rsidRPr="00C41848">
        <w:rPr>
          <w:bCs/>
          <w:color w:val="000000"/>
          <w:lang w:val="vi-VN"/>
        </w:rPr>
        <w:t xml:space="preserve">Do Luật </w:t>
      </w:r>
      <w:r w:rsidR="00D126D0">
        <w:rPr>
          <w:bCs/>
          <w:color w:val="000000"/>
          <w:lang w:val="vi-VN"/>
        </w:rPr>
        <w:t>BHXH</w:t>
      </w:r>
      <w:r w:rsidRPr="00C41848">
        <w:rPr>
          <w:bCs/>
          <w:color w:val="000000"/>
          <w:lang w:val="vi-VN"/>
        </w:rPr>
        <w:t xml:space="preserve"> số</w:t>
      </w:r>
      <w:r w:rsidRPr="00C41848">
        <w:rPr>
          <w:bCs/>
          <w:lang w:val="vi-VN"/>
        </w:rPr>
        <w:t xml:space="preserve"> 41/2024/QH15</w:t>
      </w:r>
      <w:r>
        <w:rPr>
          <w:bCs/>
          <w:color w:val="000000"/>
          <w:lang w:val="vi-VN"/>
        </w:rPr>
        <w:t xml:space="preserve"> và Nghị định số</w:t>
      </w:r>
      <w:r w:rsidR="00101A24">
        <w:rPr>
          <w:bCs/>
          <w:color w:val="000000"/>
        </w:rPr>
        <w:t xml:space="preserve"> 157/2025</w:t>
      </w:r>
      <w:r w:rsidRPr="00C41848">
        <w:rPr>
          <w:bCs/>
          <w:color w:val="000000"/>
          <w:lang w:val="vi-VN"/>
        </w:rPr>
        <w:t>/NĐ-</w:t>
      </w:r>
      <w:r w:rsidR="00101A24">
        <w:rPr>
          <w:bCs/>
          <w:color w:val="000000"/>
        </w:rPr>
        <w:t>CP</w:t>
      </w:r>
      <w:r w:rsidRPr="00C41848">
        <w:rPr>
          <w:iCs/>
          <w:color w:val="000000"/>
          <w:kern w:val="28"/>
          <w:lang w:val="vi-VN"/>
        </w:rPr>
        <w:t xml:space="preserve"> có hiệu lực thi hành kể từ </w:t>
      </w:r>
      <w:r w:rsidR="00254275">
        <w:rPr>
          <w:b/>
          <w:i/>
          <w:iCs/>
          <w:color w:val="000000"/>
          <w:kern w:val="28"/>
          <w:lang w:val="vi-VN"/>
        </w:rPr>
        <w:t>ngày 0</w:t>
      </w:r>
      <w:r w:rsidR="00254275">
        <w:rPr>
          <w:b/>
          <w:i/>
          <w:iCs/>
          <w:color w:val="000000"/>
          <w:kern w:val="28"/>
        </w:rPr>
        <w:t xml:space="preserve">1 tháng </w:t>
      </w:r>
      <w:r w:rsidRPr="00C41848">
        <w:rPr>
          <w:b/>
          <w:i/>
          <w:iCs/>
          <w:color w:val="000000"/>
          <w:kern w:val="28"/>
          <w:lang w:val="vi-VN"/>
        </w:rPr>
        <w:t>7</w:t>
      </w:r>
      <w:r w:rsidR="00254275">
        <w:rPr>
          <w:b/>
          <w:i/>
          <w:iCs/>
          <w:color w:val="000000"/>
          <w:kern w:val="28"/>
        </w:rPr>
        <w:t xml:space="preserve"> năm </w:t>
      </w:r>
      <w:r>
        <w:rPr>
          <w:b/>
          <w:i/>
          <w:iCs/>
          <w:color w:val="000000"/>
          <w:kern w:val="28"/>
          <w:lang w:val="vi-VN"/>
        </w:rPr>
        <w:t>202</w:t>
      </w:r>
      <w:r w:rsidRPr="00C41848">
        <w:rPr>
          <w:b/>
          <w:i/>
          <w:iCs/>
          <w:color w:val="000000"/>
          <w:kern w:val="28"/>
          <w:lang w:val="vi-VN"/>
        </w:rPr>
        <w:t>5</w:t>
      </w:r>
      <w:r w:rsidRPr="00C41848">
        <w:rPr>
          <w:iCs/>
          <w:color w:val="000000"/>
          <w:kern w:val="28"/>
          <w:lang w:val="vi-VN"/>
        </w:rPr>
        <w:t>.</w:t>
      </w:r>
      <w:r w:rsidRPr="00C41848">
        <w:rPr>
          <w:b/>
          <w:i/>
          <w:iCs/>
          <w:color w:val="000000"/>
          <w:kern w:val="28"/>
          <w:lang w:val="vi-VN"/>
        </w:rPr>
        <w:t xml:space="preserve"> </w:t>
      </w:r>
      <w:r w:rsidRPr="00C41848">
        <w:rPr>
          <w:iCs/>
          <w:color w:val="000000"/>
          <w:kern w:val="28"/>
          <w:lang w:val="vi-VN"/>
        </w:rPr>
        <w:t>Do vậy, căn cứ Luật Ban hành văn bản quy phạm pháp luật và các văn bản hướng dẫn, X01 đề xuất</w:t>
      </w:r>
      <w:r w:rsidR="002703F2" w:rsidRPr="002703F2">
        <w:rPr>
          <w:iCs/>
          <w:color w:val="000000"/>
          <w:kern w:val="28"/>
          <w:lang w:val="vi-VN"/>
        </w:rPr>
        <w:t xml:space="preserve"> như sau:</w:t>
      </w:r>
      <w:r w:rsidR="00101A24">
        <w:rPr>
          <w:color w:val="000000"/>
        </w:rPr>
        <w:t xml:space="preserve"> </w:t>
      </w:r>
      <w:r w:rsidR="00101A24" w:rsidRPr="003744EB">
        <w:rPr>
          <w:color w:val="000000"/>
        </w:rPr>
        <w:t>Các chính sách</w:t>
      </w:r>
      <w:r w:rsidR="00101A24">
        <w:rPr>
          <w:color w:val="000000"/>
        </w:rPr>
        <w:t>,</w:t>
      </w:r>
      <w:r w:rsidR="00101A24" w:rsidRPr="003744EB">
        <w:rPr>
          <w:color w:val="000000"/>
        </w:rPr>
        <w:t xml:space="preserve"> chế độ tại Thông tư này được thực hiện </w:t>
      </w:r>
      <w:r w:rsidR="00101A24" w:rsidRPr="001A5728">
        <w:rPr>
          <w:b/>
          <w:i/>
          <w:color w:val="000000"/>
        </w:rPr>
        <w:t>kể từ ngày 01 tháng 7 năm 2025</w:t>
      </w:r>
      <w:r w:rsidR="00101A24" w:rsidRPr="003744EB">
        <w:rPr>
          <w:color w:val="000000"/>
        </w:rPr>
        <w:t>.</w:t>
      </w:r>
      <w:r w:rsidR="00101A24">
        <w:rPr>
          <w:color w:val="000000"/>
        </w:rPr>
        <w:t xml:space="preserve"> </w:t>
      </w:r>
      <w:r w:rsidR="00101A24" w:rsidRPr="003744EB">
        <w:rPr>
          <w:color w:val="000000"/>
          <w:lang w:val="vi-VN"/>
        </w:rPr>
        <w:t xml:space="preserve">Người lao động bắt đầu hưởng bảo hiểm xã hội từ </w:t>
      </w:r>
      <w:r w:rsidR="00101A24" w:rsidRPr="001A5728">
        <w:rPr>
          <w:i/>
          <w:color w:val="000000"/>
          <w:lang w:val="vi-VN"/>
        </w:rPr>
        <w:t>ngày 01 tháng 7 năm 2025</w:t>
      </w:r>
      <w:r w:rsidR="00101A24" w:rsidRPr="003744EB">
        <w:rPr>
          <w:color w:val="000000"/>
          <w:lang w:val="vi-VN"/>
        </w:rPr>
        <w:t> trở đi mà chưa được thực hiện theo quy định tại Thông tư này, thì </w:t>
      </w:r>
      <w:r w:rsidR="00101A24">
        <w:rPr>
          <w:color w:val="000000"/>
        </w:rPr>
        <w:t xml:space="preserve">được điều chỉnh </w:t>
      </w:r>
      <w:r w:rsidR="004865D6">
        <w:rPr>
          <w:color w:val="000000"/>
        </w:rPr>
        <w:t>chế độ</w:t>
      </w:r>
      <w:r w:rsidR="00101A24">
        <w:rPr>
          <w:color w:val="000000"/>
        </w:rPr>
        <w:t xml:space="preserve"> theo quy định tại Thông tư này</w:t>
      </w:r>
      <w:r w:rsidR="00101A24" w:rsidRPr="003744EB">
        <w:rPr>
          <w:color w:val="000000"/>
          <w:lang w:val="vi-VN"/>
        </w:rPr>
        <w:t>.</w:t>
      </w:r>
    </w:p>
    <w:p w:rsidR="002C0A8A" w:rsidRPr="004753CC" w:rsidRDefault="00402792" w:rsidP="00661557">
      <w:pPr>
        <w:spacing w:before="120" w:after="120"/>
        <w:ind w:firstLine="851"/>
        <w:jc w:val="both"/>
        <w:rPr>
          <w:color w:val="000000"/>
          <w:lang w:val="vi-VN"/>
        </w:rPr>
      </w:pPr>
      <w:r w:rsidRPr="004753CC">
        <w:rPr>
          <w:color w:val="000000"/>
          <w:lang w:val="vi-VN"/>
        </w:rPr>
        <w:t>Kính báo cáo đồng chí Bộ trưởng cho ý kiến chỉ đạo</w:t>
      </w:r>
      <w:r w:rsidR="005628E4" w:rsidRPr="004753CC">
        <w:rPr>
          <w:color w:val="000000"/>
          <w:lang w:val="vi-VN"/>
        </w:rPr>
        <w:t>. Nếu được Đồng chí đồng ý, đề nghị Đồng chí duyệt,</w:t>
      </w:r>
      <w:r w:rsidRPr="004753CC">
        <w:rPr>
          <w:color w:val="000000"/>
          <w:lang w:val="vi-VN"/>
        </w:rPr>
        <w:t xml:space="preserve"> ký ban hành Thông tư</w:t>
      </w:r>
      <w:r w:rsidR="00A40C99" w:rsidRPr="004753CC">
        <w:rPr>
          <w:color w:val="000000"/>
          <w:lang w:val="vi-VN"/>
        </w:rPr>
        <w:t xml:space="preserve"> </w:t>
      </w:r>
      <w:r w:rsidR="00A40C99" w:rsidRPr="004753CC">
        <w:rPr>
          <w:i/>
          <w:color w:val="000000"/>
          <w:lang w:val="vi-VN"/>
        </w:rPr>
        <w:t>(Hồ sơ gửi trình ký gồm: Dự thảo Thông tư; bảng tổng hợp, giải trình ý kiến tham gia của Công an đơn vị, địa phương; ý kiến chỉ đạo của các đồng chí Thứ trưởng và các tài liệu khác có liên quan)</w:t>
      </w:r>
      <w:r w:rsidR="005628E4" w:rsidRPr="004753CC">
        <w:rPr>
          <w:color w:val="000000"/>
          <w:lang w:val="vi-VN"/>
        </w:rPr>
        <w:t>.</w:t>
      </w:r>
      <w:r w:rsidR="002C0A8A" w:rsidRPr="004753CC">
        <w:rPr>
          <w:color w:val="000000"/>
          <w:lang w:val="vi-VN"/>
        </w:rPr>
        <w:t>/.</w:t>
      </w:r>
    </w:p>
    <w:tbl>
      <w:tblPr>
        <w:tblW w:w="0" w:type="auto"/>
        <w:tblLook w:val="01E0" w:firstRow="1" w:lastRow="1" w:firstColumn="1" w:lastColumn="1" w:noHBand="0" w:noVBand="0"/>
      </w:tblPr>
      <w:tblGrid>
        <w:gridCol w:w="4112"/>
        <w:gridCol w:w="5068"/>
      </w:tblGrid>
      <w:tr w:rsidR="00EE1A0A" w:rsidRPr="00276F5D" w:rsidTr="00DB0D2B">
        <w:tc>
          <w:tcPr>
            <w:tcW w:w="4112" w:type="dxa"/>
            <w:shd w:val="clear" w:color="auto" w:fill="auto"/>
          </w:tcPr>
          <w:p w:rsidR="00EE1A0A" w:rsidRPr="004753CC" w:rsidRDefault="00EE1A0A" w:rsidP="00F83C06">
            <w:pPr>
              <w:rPr>
                <w:b/>
                <w:i/>
                <w:sz w:val="24"/>
                <w:szCs w:val="24"/>
                <w:lang w:val="vi-VN"/>
              </w:rPr>
            </w:pPr>
            <w:r w:rsidRPr="004753CC">
              <w:rPr>
                <w:b/>
                <w:i/>
                <w:sz w:val="24"/>
                <w:szCs w:val="24"/>
                <w:lang w:val="vi-VN"/>
              </w:rPr>
              <w:t>Nơi nhận:</w:t>
            </w:r>
          </w:p>
          <w:p w:rsidR="00EE1A0A" w:rsidRPr="004753CC" w:rsidRDefault="00EE1A0A" w:rsidP="00F83C06">
            <w:pPr>
              <w:tabs>
                <w:tab w:val="left" w:pos="2445"/>
              </w:tabs>
              <w:rPr>
                <w:sz w:val="24"/>
                <w:szCs w:val="24"/>
                <w:lang w:val="vi-VN"/>
              </w:rPr>
            </w:pPr>
            <w:r w:rsidRPr="004753CC">
              <w:rPr>
                <w:sz w:val="24"/>
                <w:szCs w:val="24"/>
                <w:lang w:val="vi-VN"/>
              </w:rPr>
              <w:t>- Như trên;</w:t>
            </w:r>
          </w:p>
          <w:p w:rsidR="00EE1A0A" w:rsidRPr="004753CC" w:rsidRDefault="00830EEC" w:rsidP="00F83C06">
            <w:pPr>
              <w:tabs>
                <w:tab w:val="left" w:pos="2445"/>
              </w:tabs>
              <w:rPr>
                <w:lang w:val="vi-VN"/>
              </w:rPr>
            </w:pPr>
            <w:r>
              <w:rPr>
                <w:sz w:val="24"/>
                <w:szCs w:val="24"/>
                <w:lang w:val="vi-VN"/>
              </w:rPr>
              <w:t>- Lưu: VT,</w:t>
            </w:r>
            <w:r w:rsidRPr="00983E06">
              <w:rPr>
                <w:sz w:val="24"/>
                <w:szCs w:val="24"/>
                <w:lang w:val="vi-VN"/>
              </w:rPr>
              <w:t xml:space="preserve"> </w:t>
            </w:r>
            <w:r w:rsidR="00EE1A0A" w:rsidRPr="004753CC">
              <w:rPr>
                <w:sz w:val="24"/>
                <w:szCs w:val="24"/>
                <w:lang w:val="vi-VN"/>
              </w:rPr>
              <w:t>P9</w:t>
            </w:r>
            <w:r w:rsidR="00D122A1" w:rsidRPr="004753CC">
              <w:rPr>
                <w:sz w:val="24"/>
                <w:szCs w:val="24"/>
                <w:lang w:val="vi-VN"/>
              </w:rPr>
              <w:t>.</w:t>
            </w:r>
          </w:p>
        </w:tc>
        <w:tc>
          <w:tcPr>
            <w:tcW w:w="5068" w:type="dxa"/>
            <w:shd w:val="clear" w:color="auto" w:fill="auto"/>
          </w:tcPr>
          <w:p w:rsidR="00EE1A0A" w:rsidRPr="004753CC" w:rsidRDefault="00EE1A0A" w:rsidP="00F83C06">
            <w:pPr>
              <w:tabs>
                <w:tab w:val="left" w:pos="2445"/>
              </w:tabs>
              <w:jc w:val="center"/>
              <w:rPr>
                <w:b/>
                <w:sz w:val="26"/>
                <w:szCs w:val="26"/>
                <w:lang w:val="vi-VN"/>
              </w:rPr>
            </w:pPr>
            <w:r w:rsidRPr="004753CC">
              <w:rPr>
                <w:b/>
                <w:sz w:val="26"/>
                <w:szCs w:val="26"/>
                <w:lang w:val="vi-VN"/>
              </w:rPr>
              <w:t>CỤC TRƯỞNG</w:t>
            </w:r>
          </w:p>
          <w:p w:rsidR="00EE1A0A" w:rsidRPr="004753CC" w:rsidRDefault="00EE1A0A" w:rsidP="00F83C06">
            <w:pPr>
              <w:tabs>
                <w:tab w:val="left" w:pos="2445"/>
              </w:tabs>
              <w:jc w:val="center"/>
              <w:rPr>
                <w:b/>
                <w:sz w:val="26"/>
                <w:szCs w:val="26"/>
                <w:lang w:val="vi-VN"/>
              </w:rPr>
            </w:pPr>
          </w:p>
          <w:p w:rsidR="00DD55A0" w:rsidRPr="004753CC" w:rsidRDefault="00DD55A0" w:rsidP="00F83C06">
            <w:pPr>
              <w:tabs>
                <w:tab w:val="left" w:pos="2445"/>
              </w:tabs>
              <w:jc w:val="center"/>
              <w:rPr>
                <w:b/>
                <w:sz w:val="26"/>
                <w:szCs w:val="26"/>
                <w:lang w:val="vi-VN"/>
              </w:rPr>
            </w:pPr>
          </w:p>
          <w:p w:rsidR="007C5C07" w:rsidRPr="004753CC" w:rsidRDefault="007C5C07" w:rsidP="00F83C06">
            <w:pPr>
              <w:tabs>
                <w:tab w:val="left" w:pos="2445"/>
              </w:tabs>
              <w:jc w:val="center"/>
              <w:rPr>
                <w:b/>
                <w:sz w:val="26"/>
                <w:szCs w:val="26"/>
                <w:lang w:val="vi-VN"/>
              </w:rPr>
            </w:pPr>
          </w:p>
          <w:p w:rsidR="007C5C07" w:rsidRPr="004753CC" w:rsidRDefault="007C5C07" w:rsidP="00F83C06">
            <w:pPr>
              <w:tabs>
                <w:tab w:val="left" w:pos="2445"/>
              </w:tabs>
              <w:jc w:val="center"/>
              <w:rPr>
                <w:b/>
                <w:sz w:val="26"/>
                <w:szCs w:val="26"/>
                <w:lang w:val="vi-VN"/>
              </w:rPr>
            </w:pPr>
          </w:p>
          <w:p w:rsidR="00EE1A0A" w:rsidRPr="004753CC" w:rsidRDefault="00826D4D" w:rsidP="007C5C07">
            <w:pPr>
              <w:tabs>
                <w:tab w:val="left" w:pos="2445"/>
              </w:tabs>
              <w:spacing w:before="360" w:after="120"/>
              <w:jc w:val="center"/>
              <w:rPr>
                <w:b/>
                <w:lang w:val="vi-VN"/>
              </w:rPr>
            </w:pPr>
            <w:r w:rsidRPr="004753CC">
              <w:rPr>
                <w:b/>
                <w:lang w:val="vi-VN"/>
              </w:rPr>
              <w:t>Trung</w:t>
            </w:r>
            <w:r w:rsidR="00DD55A0" w:rsidRPr="004753CC">
              <w:rPr>
                <w:b/>
                <w:lang w:val="vi-VN"/>
              </w:rPr>
              <w:t xml:space="preserve"> tướng Hoàng Đức Lừng</w:t>
            </w:r>
          </w:p>
        </w:tc>
      </w:tr>
    </w:tbl>
    <w:p w:rsidR="00AD508B" w:rsidRPr="004753CC" w:rsidRDefault="00AD508B" w:rsidP="009E49AE">
      <w:pPr>
        <w:spacing w:after="200" w:line="276" w:lineRule="auto"/>
        <w:rPr>
          <w:color w:val="000000"/>
          <w:spacing w:val="-2"/>
          <w:lang w:val="vi-VN"/>
        </w:rPr>
      </w:pPr>
    </w:p>
    <w:p w:rsidR="00B95FDE" w:rsidRPr="004753CC" w:rsidRDefault="00B95FDE" w:rsidP="009E49AE">
      <w:pPr>
        <w:spacing w:after="200" w:line="276" w:lineRule="auto"/>
        <w:rPr>
          <w:color w:val="000000"/>
          <w:spacing w:val="-2"/>
          <w:lang w:val="vi-VN"/>
        </w:rPr>
      </w:pPr>
    </w:p>
    <w:p w:rsidR="00B95FDE" w:rsidRPr="004753CC" w:rsidRDefault="00B95FDE" w:rsidP="009E49AE">
      <w:pPr>
        <w:spacing w:after="200" w:line="276" w:lineRule="auto"/>
        <w:rPr>
          <w:color w:val="000000"/>
          <w:spacing w:val="-2"/>
          <w:lang w:val="vi-VN"/>
        </w:rPr>
      </w:pPr>
    </w:p>
    <w:p w:rsidR="00B95FDE" w:rsidRPr="00425AEA" w:rsidRDefault="00B95FDE" w:rsidP="009E49AE">
      <w:pPr>
        <w:spacing w:after="200" w:line="276" w:lineRule="auto"/>
        <w:rPr>
          <w:color w:val="000000"/>
          <w:spacing w:val="-2"/>
          <w:lang w:val="vi-VN"/>
        </w:rPr>
      </w:pPr>
    </w:p>
    <w:p w:rsidR="00F87FD1" w:rsidRPr="00425AEA" w:rsidRDefault="00F87FD1" w:rsidP="009E49AE">
      <w:pPr>
        <w:spacing w:after="200" w:line="276" w:lineRule="auto"/>
        <w:rPr>
          <w:color w:val="000000"/>
          <w:spacing w:val="-2"/>
          <w:lang w:val="vi-VN"/>
        </w:rPr>
      </w:pPr>
    </w:p>
    <w:sectPr w:rsidR="00F87FD1" w:rsidRPr="00425AEA" w:rsidSect="007937D8">
      <w:headerReference w:type="default" r:id="rId8"/>
      <w:pgSz w:w="11909" w:h="16834" w:code="9"/>
      <w:pgMar w:top="1134" w:right="1134" w:bottom="1134" w:left="1701" w:header="794"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70" w:rsidRDefault="00212C70" w:rsidP="00DA5A4E">
      <w:r>
        <w:separator/>
      </w:r>
    </w:p>
  </w:endnote>
  <w:endnote w:type="continuationSeparator" w:id="0">
    <w:p w:rsidR="00212C70" w:rsidRDefault="00212C70" w:rsidP="00DA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70" w:rsidRDefault="00212C70" w:rsidP="00DA5A4E">
      <w:r>
        <w:separator/>
      </w:r>
    </w:p>
  </w:footnote>
  <w:footnote w:type="continuationSeparator" w:id="0">
    <w:p w:rsidR="00212C70" w:rsidRDefault="00212C70" w:rsidP="00DA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27402"/>
      <w:docPartObj>
        <w:docPartGallery w:val="Page Numbers (Top of Page)"/>
        <w:docPartUnique/>
      </w:docPartObj>
    </w:sdtPr>
    <w:sdtEndPr>
      <w:rPr>
        <w:noProof/>
      </w:rPr>
    </w:sdtEndPr>
    <w:sdtContent>
      <w:p w:rsidR="00B058D7" w:rsidRDefault="00B058D7">
        <w:pPr>
          <w:pStyle w:val="Header"/>
          <w:jc w:val="center"/>
        </w:pPr>
        <w:r>
          <w:fldChar w:fldCharType="begin"/>
        </w:r>
        <w:r>
          <w:instrText xml:space="preserve"> PAGE   \* MERGEFORMAT </w:instrText>
        </w:r>
        <w:r>
          <w:fldChar w:fldCharType="separate"/>
        </w:r>
        <w:r w:rsidR="00BF5AD5">
          <w:rPr>
            <w:noProof/>
          </w:rPr>
          <w:t>5</w:t>
        </w:r>
        <w:r>
          <w:rPr>
            <w:noProof/>
          </w:rPr>
          <w:fldChar w:fldCharType="end"/>
        </w:r>
      </w:p>
    </w:sdtContent>
  </w:sdt>
  <w:p w:rsidR="00B058D7" w:rsidRDefault="00B05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767C"/>
    <w:rsid w:val="000026B4"/>
    <w:rsid w:val="00004B69"/>
    <w:rsid w:val="0000650D"/>
    <w:rsid w:val="00013279"/>
    <w:rsid w:val="00013768"/>
    <w:rsid w:val="00013E4B"/>
    <w:rsid w:val="00015BE1"/>
    <w:rsid w:val="00017DF8"/>
    <w:rsid w:val="0002116A"/>
    <w:rsid w:val="00022128"/>
    <w:rsid w:val="000226DF"/>
    <w:rsid w:val="000234D5"/>
    <w:rsid w:val="0002350E"/>
    <w:rsid w:val="0002438A"/>
    <w:rsid w:val="00025440"/>
    <w:rsid w:val="00026960"/>
    <w:rsid w:val="000273E9"/>
    <w:rsid w:val="0003021A"/>
    <w:rsid w:val="0003178B"/>
    <w:rsid w:val="000322E7"/>
    <w:rsid w:val="0003315C"/>
    <w:rsid w:val="000348F3"/>
    <w:rsid w:val="00035618"/>
    <w:rsid w:val="000376C5"/>
    <w:rsid w:val="00040AEC"/>
    <w:rsid w:val="0004681B"/>
    <w:rsid w:val="0005064B"/>
    <w:rsid w:val="00050FF1"/>
    <w:rsid w:val="00051528"/>
    <w:rsid w:val="00052F4D"/>
    <w:rsid w:val="00053C37"/>
    <w:rsid w:val="00053DF5"/>
    <w:rsid w:val="00056EFC"/>
    <w:rsid w:val="00057383"/>
    <w:rsid w:val="00060A6F"/>
    <w:rsid w:val="000620BC"/>
    <w:rsid w:val="0006327D"/>
    <w:rsid w:val="00067702"/>
    <w:rsid w:val="000679EB"/>
    <w:rsid w:val="000720A6"/>
    <w:rsid w:val="00072893"/>
    <w:rsid w:val="0007342C"/>
    <w:rsid w:val="000737FF"/>
    <w:rsid w:val="00075A10"/>
    <w:rsid w:val="000778A3"/>
    <w:rsid w:val="00077D26"/>
    <w:rsid w:val="00077E52"/>
    <w:rsid w:val="00081257"/>
    <w:rsid w:val="00082720"/>
    <w:rsid w:val="00085971"/>
    <w:rsid w:val="000868FF"/>
    <w:rsid w:val="00086D8D"/>
    <w:rsid w:val="00091158"/>
    <w:rsid w:val="00093CE0"/>
    <w:rsid w:val="00094A50"/>
    <w:rsid w:val="000975D4"/>
    <w:rsid w:val="000A1541"/>
    <w:rsid w:val="000A1905"/>
    <w:rsid w:val="000A2EFD"/>
    <w:rsid w:val="000A3BFE"/>
    <w:rsid w:val="000A4226"/>
    <w:rsid w:val="000B2B0A"/>
    <w:rsid w:val="000B3018"/>
    <w:rsid w:val="000B3A98"/>
    <w:rsid w:val="000B45DF"/>
    <w:rsid w:val="000B4640"/>
    <w:rsid w:val="000B5C8E"/>
    <w:rsid w:val="000B65DB"/>
    <w:rsid w:val="000B6AA3"/>
    <w:rsid w:val="000B6BF6"/>
    <w:rsid w:val="000B7032"/>
    <w:rsid w:val="000C0AEA"/>
    <w:rsid w:val="000C34CF"/>
    <w:rsid w:val="000D0207"/>
    <w:rsid w:val="000D3DEF"/>
    <w:rsid w:val="000D6B4F"/>
    <w:rsid w:val="000E07C5"/>
    <w:rsid w:val="000E2B14"/>
    <w:rsid w:val="000E364E"/>
    <w:rsid w:val="000E39E5"/>
    <w:rsid w:val="000E4C61"/>
    <w:rsid w:val="000E4FC7"/>
    <w:rsid w:val="000E515A"/>
    <w:rsid w:val="000E5E72"/>
    <w:rsid w:val="000E637A"/>
    <w:rsid w:val="000E6E3A"/>
    <w:rsid w:val="000F0997"/>
    <w:rsid w:val="000F2FF7"/>
    <w:rsid w:val="000F3672"/>
    <w:rsid w:val="000F3BE7"/>
    <w:rsid w:val="000F4D34"/>
    <w:rsid w:val="000F6943"/>
    <w:rsid w:val="000F7774"/>
    <w:rsid w:val="00100D24"/>
    <w:rsid w:val="00101A24"/>
    <w:rsid w:val="00102EA4"/>
    <w:rsid w:val="00103F4F"/>
    <w:rsid w:val="00106DC1"/>
    <w:rsid w:val="0011297D"/>
    <w:rsid w:val="00115B6F"/>
    <w:rsid w:val="0011687B"/>
    <w:rsid w:val="00117C39"/>
    <w:rsid w:val="00122038"/>
    <w:rsid w:val="0012292A"/>
    <w:rsid w:val="00122A2A"/>
    <w:rsid w:val="001263DF"/>
    <w:rsid w:val="001269F4"/>
    <w:rsid w:val="0013004B"/>
    <w:rsid w:val="001320C5"/>
    <w:rsid w:val="001331A1"/>
    <w:rsid w:val="00136153"/>
    <w:rsid w:val="0014006E"/>
    <w:rsid w:val="00147930"/>
    <w:rsid w:val="00150172"/>
    <w:rsid w:val="00152EBE"/>
    <w:rsid w:val="001532BD"/>
    <w:rsid w:val="0015565E"/>
    <w:rsid w:val="001609B0"/>
    <w:rsid w:val="001609E8"/>
    <w:rsid w:val="00160C17"/>
    <w:rsid w:val="00161DDE"/>
    <w:rsid w:val="001658E3"/>
    <w:rsid w:val="00165991"/>
    <w:rsid w:val="00165B79"/>
    <w:rsid w:val="001745E2"/>
    <w:rsid w:val="001748CE"/>
    <w:rsid w:val="0018033A"/>
    <w:rsid w:val="00181990"/>
    <w:rsid w:val="001820AE"/>
    <w:rsid w:val="00183C14"/>
    <w:rsid w:val="00183C1F"/>
    <w:rsid w:val="00183D9B"/>
    <w:rsid w:val="00191669"/>
    <w:rsid w:val="00192599"/>
    <w:rsid w:val="00194144"/>
    <w:rsid w:val="00195731"/>
    <w:rsid w:val="001A1FD7"/>
    <w:rsid w:val="001A5728"/>
    <w:rsid w:val="001A770E"/>
    <w:rsid w:val="001B13B5"/>
    <w:rsid w:val="001B13C6"/>
    <w:rsid w:val="001B436B"/>
    <w:rsid w:val="001B4AF1"/>
    <w:rsid w:val="001B4F85"/>
    <w:rsid w:val="001B59AF"/>
    <w:rsid w:val="001B5EAC"/>
    <w:rsid w:val="001B6A20"/>
    <w:rsid w:val="001C03AF"/>
    <w:rsid w:val="001C22B3"/>
    <w:rsid w:val="001C51E8"/>
    <w:rsid w:val="001C7B1C"/>
    <w:rsid w:val="001D0A3C"/>
    <w:rsid w:val="001D16FE"/>
    <w:rsid w:val="001D1D50"/>
    <w:rsid w:val="001D1FFA"/>
    <w:rsid w:val="001D2223"/>
    <w:rsid w:val="001E0BCA"/>
    <w:rsid w:val="001E3D31"/>
    <w:rsid w:val="001E5E55"/>
    <w:rsid w:val="001E7406"/>
    <w:rsid w:val="001E7F1A"/>
    <w:rsid w:val="001F193F"/>
    <w:rsid w:val="001F2A8F"/>
    <w:rsid w:val="001F3372"/>
    <w:rsid w:val="001F5165"/>
    <w:rsid w:val="001F5509"/>
    <w:rsid w:val="001F71E8"/>
    <w:rsid w:val="001F78EA"/>
    <w:rsid w:val="0020200C"/>
    <w:rsid w:val="00202FDF"/>
    <w:rsid w:val="00203245"/>
    <w:rsid w:val="00203949"/>
    <w:rsid w:val="002046ED"/>
    <w:rsid w:val="002048F5"/>
    <w:rsid w:val="00204BED"/>
    <w:rsid w:val="00204D94"/>
    <w:rsid w:val="00204FA3"/>
    <w:rsid w:val="00205A8A"/>
    <w:rsid w:val="00206259"/>
    <w:rsid w:val="0021260B"/>
    <w:rsid w:val="0021265D"/>
    <w:rsid w:val="00212C70"/>
    <w:rsid w:val="002134B3"/>
    <w:rsid w:val="00214BBE"/>
    <w:rsid w:val="00214D37"/>
    <w:rsid w:val="00221098"/>
    <w:rsid w:val="002225D7"/>
    <w:rsid w:val="00222F55"/>
    <w:rsid w:val="00224626"/>
    <w:rsid w:val="00224BC8"/>
    <w:rsid w:val="002257B9"/>
    <w:rsid w:val="002302B3"/>
    <w:rsid w:val="0023086B"/>
    <w:rsid w:val="0023169B"/>
    <w:rsid w:val="00232B31"/>
    <w:rsid w:val="00232E59"/>
    <w:rsid w:val="00233A05"/>
    <w:rsid w:val="0023683C"/>
    <w:rsid w:val="00236E03"/>
    <w:rsid w:val="00236F0D"/>
    <w:rsid w:val="00237EC8"/>
    <w:rsid w:val="002405F2"/>
    <w:rsid w:val="00241FFA"/>
    <w:rsid w:val="00242426"/>
    <w:rsid w:val="00242615"/>
    <w:rsid w:val="002426C3"/>
    <w:rsid w:val="00251DA1"/>
    <w:rsid w:val="00252F39"/>
    <w:rsid w:val="00254275"/>
    <w:rsid w:val="002552FA"/>
    <w:rsid w:val="00257601"/>
    <w:rsid w:val="002578F3"/>
    <w:rsid w:val="002623EA"/>
    <w:rsid w:val="00263261"/>
    <w:rsid w:val="00265210"/>
    <w:rsid w:val="0026623E"/>
    <w:rsid w:val="00266997"/>
    <w:rsid w:val="00266A6A"/>
    <w:rsid w:val="002703F2"/>
    <w:rsid w:val="00272928"/>
    <w:rsid w:val="00274458"/>
    <w:rsid w:val="0027549C"/>
    <w:rsid w:val="0027585F"/>
    <w:rsid w:val="00276F5D"/>
    <w:rsid w:val="002812FF"/>
    <w:rsid w:val="00283A09"/>
    <w:rsid w:val="00283BD3"/>
    <w:rsid w:val="00291740"/>
    <w:rsid w:val="00291959"/>
    <w:rsid w:val="002919D6"/>
    <w:rsid w:val="0029692C"/>
    <w:rsid w:val="002A088D"/>
    <w:rsid w:val="002A17B7"/>
    <w:rsid w:val="002A1EA2"/>
    <w:rsid w:val="002A3B36"/>
    <w:rsid w:val="002A4683"/>
    <w:rsid w:val="002A496B"/>
    <w:rsid w:val="002A4E92"/>
    <w:rsid w:val="002A6CD7"/>
    <w:rsid w:val="002B275C"/>
    <w:rsid w:val="002B580C"/>
    <w:rsid w:val="002B6B23"/>
    <w:rsid w:val="002B7D3A"/>
    <w:rsid w:val="002C050E"/>
    <w:rsid w:val="002C0674"/>
    <w:rsid w:val="002C0A8A"/>
    <w:rsid w:val="002C2206"/>
    <w:rsid w:val="002C28D6"/>
    <w:rsid w:val="002C3624"/>
    <w:rsid w:val="002C50B3"/>
    <w:rsid w:val="002D05F2"/>
    <w:rsid w:val="002D07E4"/>
    <w:rsid w:val="002D0F4C"/>
    <w:rsid w:val="002D3ECE"/>
    <w:rsid w:val="002D58B8"/>
    <w:rsid w:val="002E12C7"/>
    <w:rsid w:val="002E553D"/>
    <w:rsid w:val="002E6021"/>
    <w:rsid w:val="002F0BC1"/>
    <w:rsid w:val="002F13A2"/>
    <w:rsid w:val="002F1639"/>
    <w:rsid w:val="002F1B41"/>
    <w:rsid w:val="002F2755"/>
    <w:rsid w:val="002F37EE"/>
    <w:rsid w:val="002F3A71"/>
    <w:rsid w:val="002F796F"/>
    <w:rsid w:val="003007B9"/>
    <w:rsid w:val="00300A29"/>
    <w:rsid w:val="0030118D"/>
    <w:rsid w:val="00301A1B"/>
    <w:rsid w:val="0030399D"/>
    <w:rsid w:val="0030404C"/>
    <w:rsid w:val="00304BA8"/>
    <w:rsid w:val="00306C87"/>
    <w:rsid w:val="00311D8F"/>
    <w:rsid w:val="00315906"/>
    <w:rsid w:val="003204AA"/>
    <w:rsid w:val="0032781B"/>
    <w:rsid w:val="00327BC0"/>
    <w:rsid w:val="003315B9"/>
    <w:rsid w:val="0033426B"/>
    <w:rsid w:val="00335684"/>
    <w:rsid w:val="0033680B"/>
    <w:rsid w:val="00336B12"/>
    <w:rsid w:val="00337BF5"/>
    <w:rsid w:val="00340E0C"/>
    <w:rsid w:val="0034123E"/>
    <w:rsid w:val="003424D1"/>
    <w:rsid w:val="00343618"/>
    <w:rsid w:val="003455A4"/>
    <w:rsid w:val="00345C2B"/>
    <w:rsid w:val="00347A94"/>
    <w:rsid w:val="00347EFA"/>
    <w:rsid w:val="00351A6B"/>
    <w:rsid w:val="00352226"/>
    <w:rsid w:val="0035330E"/>
    <w:rsid w:val="00355095"/>
    <w:rsid w:val="003559AE"/>
    <w:rsid w:val="00356C46"/>
    <w:rsid w:val="00357694"/>
    <w:rsid w:val="00357862"/>
    <w:rsid w:val="00362D16"/>
    <w:rsid w:val="00365217"/>
    <w:rsid w:val="00371298"/>
    <w:rsid w:val="00371E67"/>
    <w:rsid w:val="003737B2"/>
    <w:rsid w:val="00373B91"/>
    <w:rsid w:val="00373E7D"/>
    <w:rsid w:val="00375467"/>
    <w:rsid w:val="00375F78"/>
    <w:rsid w:val="00380CF5"/>
    <w:rsid w:val="00381149"/>
    <w:rsid w:val="00382116"/>
    <w:rsid w:val="00383C33"/>
    <w:rsid w:val="00385BA2"/>
    <w:rsid w:val="003900A7"/>
    <w:rsid w:val="003903BE"/>
    <w:rsid w:val="003919DF"/>
    <w:rsid w:val="003925BF"/>
    <w:rsid w:val="00392F13"/>
    <w:rsid w:val="00394DC4"/>
    <w:rsid w:val="003951FA"/>
    <w:rsid w:val="003A06BE"/>
    <w:rsid w:val="003A1791"/>
    <w:rsid w:val="003A1965"/>
    <w:rsid w:val="003A1A57"/>
    <w:rsid w:val="003A3ABC"/>
    <w:rsid w:val="003A4C13"/>
    <w:rsid w:val="003A4D53"/>
    <w:rsid w:val="003A5312"/>
    <w:rsid w:val="003A74A3"/>
    <w:rsid w:val="003A7892"/>
    <w:rsid w:val="003A78C0"/>
    <w:rsid w:val="003A7B6D"/>
    <w:rsid w:val="003B0423"/>
    <w:rsid w:val="003B3475"/>
    <w:rsid w:val="003B4418"/>
    <w:rsid w:val="003B7B42"/>
    <w:rsid w:val="003B7FB5"/>
    <w:rsid w:val="003C1280"/>
    <w:rsid w:val="003C1700"/>
    <w:rsid w:val="003C2ECD"/>
    <w:rsid w:val="003C3A56"/>
    <w:rsid w:val="003C424C"/>
    <w:rsid w:val="003C520B"/>
    <w:rsid w:val="003C6731"/>
    <w:rsid w:val="003C69C6"/>
    <w:rsid w:val="003C72C8"/>
    <w:rsid w:val="003C755B"/>
    <w:rsid w:val="003D116A"/>
    <w:rsid w:val="003D1BA8"/>
    <w:rsid w:val="003D280E"/>
    <w:rsid w:val="003D492E"/>
    <w:rsid w:val="003D5A29"/>
    <w:rsid w:val="003D6A59"/>
    <w:rsid w:val="003D757D"/>
    <w:rsid w:val="003E17B9"/>
    <w:rsid w:val="003E4751"/>
    <w:rsid w:val="003E59D7"/>
    <w:rsid w:val="003E79E8"/>
    <w:rsid w:val="003F07C4"/>
    <w:rsid w:val="003F0EBC"/>
    <w:rsid w:val="003F1628"/>
    <w:rsid w:val="003F7711"/>
    <w:rsid w:val="00400EB7"/>
    <w:rsid w:val="00401CFB"/>
    <w:rsid w:val="00402792"/>
    <w:rsid w:val="00405578"/>
    <w:rsid w:val="004064D9"/>
    <w:rsid w:val="00407066"/>
    <w:rsid w:val="00411D17"/>
    <w:rsid w:val="00411E54"/>
    <w:rsid w:val="00411FE9"/>
    <w:rsid w:val="0041302D"/>
    <w:rsid w:val="00413702"/>
    <w:rsid w:val="004144A5"/>
    <w:rsid w:val="004165E7"/>
    <w:rsid w:val="0041685F"/>
    <w:rsid w:val="00417431"/>
    <w:rsid w:val="00417A9C"/>
    <w:rsid w:val="00422262"/>
    <w:rsid w:val="00423FA2"/>
    <w:rsid w:val="0042487F"/>
    <w:rsid w:val="00425AEA"/>
    <w:rsid w:val="00426D9C"/>
    <w:rsid w:val="004306D9"/>
    <w:rsid w:val="00430876"/>
    <w:rsid w:val="00431369"/>
    <w:rsid w:val="00432F3C"/>
    <w:rsid w:val="0043398E"/>
    <w:rsid w:val="0043607E"/>
    <w:rsid w:val="004369B8"/>
    <w:rsid w:val="00436C92"/>
    <w:rsid w:val="00436F89"/>
    <w:rsid w:val="00440462"/>
    <w:rsid w:val="004414D1"/>
    <w:rsid w:val="00445733"/>
    <w:rsid w:val="0044693B"/>
    <w:rsid w:val="00446BE1"/>
    <w:rsid w:val="00447117"/>
    <w:rsid w:val="00447189"/>
    <w:rsid w:val="00450D1D"/>
    <w:rsid w:val="00453218"/>
    <w:rsid w:val="00454689"/>
    <w:rsid w:val="00455CB1"/>
    <w:rsid w:val="00456BBD"/>
    <w:rsid w:val="00460107"/>
    <w:rsid w:val="00460791"/>
    <w:rsid w:val="004620E3"/>
    <w:rsid w:val="00463692"/>
    <w:rsid w:val="004654FC"/>
    <w:rsid w:val="0046584B"/>
    <w:rsid w:val="0046678F"/>
    <w:rsid w:val="004677E7"/>
    <w:rsid w:val="00467A15"/>
    <w:rsid w:val="004702B3"/>
    <w:rsid w:val="00471BD4"/>
    <w:rsid w:val="00474536"/>
    <w:rsid w:val="00475040"/>
    <w:rsid w:val="004753CC"/>
    <w:rsid w:val="00476201"/>
    <w:rsid w:val="0047775E"/>
    <w:rsid w:val="0048171D"/>
    <w:rsid w:val="00482D9F"/>
    <w:rsid w:val="00483F8B"/>
    <w:rsid w:val="0048606A"/>
    <w:rsid w:val="00486248"/>
    <w:rsid w:val="004865D6"/>
    <w:rsid w:val="00486C97"/>
    <w:rsid w:val="0048768C"/>
    <w:rsid w:val="0049398C"/>
    <w:rsid w:val="0049663B"/>
    <w:rsid w:val="004A0143"/>
    <w:rsid w:val="004A03C9"/>
    <w:rsid w:val="004A1246"/>
    <w:rsid w:val="004A276B"/>
    <w:rsid w:val="004A3403"/>
    <w:rsid w:val="004A41D4"/>
    <w:rsid w:val="004A5DB7"/>
    <w:rsid w:val="004A6CEC"/>
    <w:rsid w:val="004A711C"/>
    <w:rsid w:val="004A7126"/>
    <w:rsid w:val="004A7ED7"/>
    <w:rsid w:val="004B4931"/>
    <w:rsid w:val="004B6BBE"/>
    <w:rsid w:val="004B75DA"/>
    <w:rsid w:val="004C0905"/>
    <w:rsid w:val="004C3C38"/>
    <w:rsid w:val="004C4B5F"/>
    <w:rsid w:val="004C6B33"/>
    <w:rsid w:val="004D01C4"/>
    <w:rsid w:val="004D01DA"/>
    <w:rsid w:val="004D0FCA"/>
    <w:rsid w:val="004D4B76"/>
    <w:rsid w:val="004D4CC5"/>
    <w:rsid w:val="004D5222"/>
    <w:rsid w:val="004D6BBD"/>
    <w:rsid w:val="004D7429"/>
    <w:rsid w:val="004E23C8"/>
    <w:rsid w:val="004E2531"/>
    <w:rsid w:val="004E6952"/>
    <w:rsid w:val="004E7AA7"/>
    <w:rsid w:val="004F096F"/>
    <w:rsid w:val="004F0D8B"/>
    <w:rsid w:val="004F1167"/>
    <w:rsid w:val="004F199C"/>
    <w:rsid w:val="004F542D"/>
    <w:rsid w:val="004F5622"/>
    <w:rsid w:val="004F5FC7"/>
    <w:rsid w:val="004F6C75"/>
    <w:rsid w:val="004F7788"/>
    <w:rsid w:val="00500DAF"/>
    <w:rsid w:val="00501EB7"/>
    <w:rsid w:val="00502241"/>
    <w:rsid w:val="0050507C"/>
    <w:rsid w:val="005050A8"/>
    <w:rsid w:val="00505C01"/>
    <w:rsid w:val="00506189"/>
    <w:rsid w:val="00507475"/>
    <w:rsid w:val="00511ABE"/>
    <w:rsid w:val="00512E74"/>
    <w:rsid w:val="00513BA7"/>
    <w:rsid w:val="00514E6A"/>
    <w:rsid w:val="00514F2D"/>
    <w:rsid w:val="00515067"/>
    <w:rsid w:val="00515554"/>
    <w:rsid w:val="00516310"/>
    <w:rsid w:val="00517E7F"/>
    <w:rsid w:val="00520C35"/>
    <w:rsid w:val="0052189F"/>
    <w:rsid w:val="005220A2"/>
    <w:rsid w:val="0052335C"/>
    <w:rsid w:val="00524117"/>
    <w:rsid w:val="00525FC1"/>
    <w:rsid w:val="00526DEB"/>
    <w:rsid w:val="0053003C"/>
    <w:rsid w:val="005301D3"/>
    <w:rsid w:val="00530761"/>
    <w:rsid w:val="005323FE"/>
    <w:rsid w:val="0053307A"/>
    <w:rsid w:val="005335C9"/>
    <w:rsid w:val="005343FA"/>
    <w:rsid w:val="00535479"/>
    <w:rsid w:val="00535FB0"/>
    <w:rsid w:val="00540176"/>
    <w:rsid w:val="00540E4C"/>
    <w:rsid w:val="0054408F"/>
    <w:rsid w:val="005451A9"/>
    <w:rsid w:val="0054555E"/>
    <w:rsid w:val="00546117"/>
    <w:rsid w:val="0054787A"/>
    <w:rsid w:val="00547D37"/>
    <w:rsid w:val="00551AF3"/>
    <w:rsid w:val="005576E8"/>
    <w:rsid w:val="005601F9"/>
    <w:rsid w:val="0056128C"/>
    <w:rsid w:val="005620C5"/>
    <w:rsid w:val="005627C9"/>
    <w:rsid w:val="005628E4"/>
    <w:rsid w:val="00563D37"/>
    <w:rsid w:val="00565E52"/>
    <w:rsid w:val="005673CE"/>
    <w:rsid w:val="00570340"/>
    <w:rsid w:val="00570F4D"/>
    <w:rsid w:val="0057565A"/>
    <w:rsid w:val="00576092"/>
    <w:rsid w:val="00577640"/>
    <w:rsid w:val="00577E79"/>
    <w:rsid w:val="00582AF1"/>
    <w:rsid w:val="00583A29"/>
    <w:rsid w:val="005857C6"/>
    <w:rsid w:val="00585C74"/>
    <w:rsid w:val="00593DBE"/>
    <w:rsid w:val="00595A3C"/>
    <w:rsid w:val="005968E1"/>
    <w:rsid w:val="00597845"/>
    <w:rsid w:val="005A0EB0"/>
    <w:rsid w:val="005A0FE8"/>
    <w:rsid w:val="005A19EE"/>
    <w:rsid w:val="005A24EF"/>
    <w:rsid w:val="005A2C58"/>
    <w:rsid w:val="005B0D63"/>
    <w:rsid w:val="005B5EC3"/>
    <w:rsid w:val="005B6827"/>
    <w:rsid w:val="005C10AD"/>
    <w:rsid w:val="005C779B"/>
    <w:rsid w:val="005D0077"/>
    <w:rsid w:val="005D1BD4"/>
    <w:rsid w:val="005D4AB9"/>
    <w:rsid w:val="005D4D23"/>
    <w:rsid w:val="005D6CC6"/>
    <w:rsid w:val="005E0586"/>
    <w:rsid w:val="005E134A"/>
    <w:rsid w:val="005E1E52"/>
    <w:rsid w:val="005E244A"/>
    <w:rsid w:val="005E2EEF"/>
    <w:rsid w:val="005E31AA"/>
    <w:rsid w:val="005E558F"/>
    <w:rsid w:val="005E79A2"/>
    <w:rsid w:val="005F2BF5"/>
    <w:rsid w:val="005F3B46"/>
    <w:rsid w:val="005F4EE0"/>
    <w:rsid w:val="005F603B"/>
    <w:rsid w:val="005F71A6"/>
    <w:rsid w:val="005F7AE0"/>
    <w:rsid w:val="00601AD9"/>
    <w:rsid w:val="00601B10"/>
    <w:rsid w:val="00604580"/>
    <w:rsid w:val="00606267"/>
    <w:rsid w:val="006068D2"/>
    <w:rsid w:val="006104E9"/>
    <w:rsid w:val="00613B11"/>
    <w:rsid w:val="00617CCA"/>
    <w:rsid w:val="00621BBB"/>
    <w:rsid w:val="006246C3"/>
    <w:rsid w:val="00625BE8"/>
    <w:rsid w:val="006261F7"/>
    <w:rsid w:val="006272C7"/>
    <w:rsid w:val="0062798D"/>
    <w:rsid w:val="00631331"/>
    <w:rsid w:val="0063156A"/>
    <w:rsid w:val="00631773"/>
    <w:rsid w:val="006321A6"/>
    <w:rsid w:val="00632A7F"/>
    <w:rsid w:val="00636AB6"/>
    <w:rsid w:val="00637CBF"/>
    <w:rsid w:val="00641D64"/>
    <w:rsid w:val="00642C8C"/>
    <w:rsid w:val="006441EA"/>
    <w:rsid w:val="00645C77"/>
    <w:rsid w:val="006504CB"/>
    <w:rsid w:val="00650C69"/>
    <w:rsid w:val="00651886"/>
    <w:rsid w:val="00651BDE"/>
    <w:rsid w:val="00651E26"/>
    <w:rsid w:val="0065215E"/>
    <w:rsid w:val="00654A60"/>
    <w:rsid w:val="00655D32"/>
    <w:rsid w:val="0066005B"/>
    <w:rsid w:val="0066046F"/>
    <w:rsid w:val="00661557"/>
    <w:rsid w:val="00662684"/>
    <w:rsid w:val="006638E7"/>
    <w:rsid w:val="00663F5C"/>
    <w:rsid w:val="00664FC2"/>
    <w:rsid w:val="0067254F"/>
    <w:rsid w:val="00672CBF"/>
    <w:rsid w:val="006737D6"/>
    <w:rsid w:val="00673916"/>
    <w:rsid w:val="00676AE5"/>
    <w:rsid w:val="00677BDC"/>
    <w:rsid w:val="0068199A"/>
    <w:rsid w:val="006823B1"/>
    <w:rsid w:val="00685028"/>
    <w:rsid w:val="00685335"/>
    <w:rsid w:val="00691127"/>
    <w:rsid w:val="00692EB2"/>
    <w:rsid w:val="006958CB"/>
    <w:rsid w:val="00696EED"/>
    <w:rsid w:val="006A1CC2"/>
    <w:rsid w:val="006A5345"/>
    <w:rsid w:val="006A54AA"/>
    <w:rsid w:val="006A6BEF"/>
    <w:rsid w:val="006A7325"/>
    <w:rsid w:val="006B0617"/>
    <w:rsid w:val="006B0AB5"/>
    <w:rsid w:val="006B0BEB"/>
    <w:rsid w:val="006B1072"/>
    <w:rsid w:val="006B1173"/>
    <w:rsid w:val="006B25DE"/>
    <w:rsid w:val="006B3C23"/>
    <w:rsid w:val="006B3EE0"/>
    <w:rsid w:val="006B4B96"/>
    <w:rsid w:val="006B5C5B"/>
    <w:rsid w:val="006B69CE"/>
    <w:rsid w:val="006B7303"/>
    <w:rsid w:val="006C18C3"/>
    <w:rsid w:val="006C45BB"/>
    <w:rsid w:val="006C6947"/>
    <w:rsid w:val="006C7CA4"/>
    <w:rsid w:val="006D2FD6"/>
    <w:rsid w:val="006D475E"/>
    <w:rsid w:val="006D74EA"/>
    <w:rsid w:val="006E37A5"/>
    <w:rsid w:val="006E38B2"/>
    <w:rsid w:val="006E3B3C"/>
    <w:rsid w:val="006E3B58"/>
    <w:rsid w:val="006E3B94"/>
    <w:rsid w:val="006E46CC"/>
    <w:rsid w:val="006E62D4"/>
    <w:rsid w:val="006E7540"/>
    <w:rsid w:val="006F077A"/>
    <w:rsid w:val="006F12B1"/>
    <w:rsid w:val="006F133A"/>
    <w:rsid w:val="006F42B9"/>
    <w:rsid w:val="006F7D8B"/>
    <w:rsid w:val="00701643"/>
    <w:rsid w:val="00702968"/>
    <w:rsid w:val="007034F9"/>
    <w:rsid w:val="00707958"/>
    <w:rsid w:val="00707CE6"/>
    <w:rsid w:val="007118B1"/>
    <w:rsid w:val="00711C06"/>
    <w:rsid w:val="007148BA"/>
    <w:rsid w:val="00714ECC"/>
    <w:rsid w:val="0072070E"/>
    <w:rsid w:val="00720AC2"/>
    <w:rsid w:val="00723FCA"/>
    <w:rsid w:val="0072471B"/>
    <w:rsid w:val="007250BD"/>
    <w:rsid w:val="007257AD"/>
    <w:rsid w:val="00726302"/>
    <w:rsid w:val="0073056B"/>
    <w:rsid w:val="00730E48"/>
    <w:rsid w:val="007319BC"/>
    <w:rsid w:val="0073224C"/>
    <w:rsid w:val="0073450E"/>
    <w:rsid w:val="0073456E"/>
    <w:rsid w:val="0073721D"/>
    <w:rsid w:val="0074023A"/>
    <w:rsid w:val="00741823"/>
    <w:rsid w:val="00741D41"/>
    <w:rsid w:val="00742ECB"/>
    <w:rsid w:val="00744972"/>
    <w:rsid w:val="00744FDB"/>
    <w:rsid w:val="00746E90"/>
    <w:rsid w:val="0075154F"/>
    <w:rsid w:val="00751B8F"/>
    <w:rsid w:val="00751DD5"/>
    <w:rsid w:val="00753689"/>
    <w:rsid w:val="00757817"/>
    <w:rsid w:val="00757F42"/>
    <w:rsid w:val="00761C1A"/>
    <w:rsid w:val="007620F9"/>
    <w:rsid w:val="00762E93"/>
    <w:rsid w:val="00763281"/>
    <w:rsid w:val="00763799"/>
    <w:rsid w:val="00763CEB"/>
    <w:rsid w:val="0076522C"/>
    <w:rsid w:val="00765CD3"/>
    <w:rsid w:val="00766672"/>
    <w:rsid w:val="00767345"/>
    <w:rsid w:val="00767F1C"/>
    <w:rsid w:val="00772D6C"/>
    <w:rsid w:val="00773E24"/>
    <w:rsid w:val="007769D6"/>
    <w:rsid w:val="00776E39"/>
    <w:rsid w:val="00777D45"/>
    <w:rsid w:val="0078027B"/>
    <w:rsid w:val="00781749"/>
    <w:rsid w:val="00782639"/>
    <w:rsid w:val="007828F9"/>
    <w:rsid w:val="00783F1A"/>
    <w:rsid w:val="007843CD"/>
    <w:rsid w:val="0078547D"/>
    <w:rsid w:val="00785C2D"/>
    <w:rsid w:val="007867E3"/>
    <w:rsid w:val="00786E78"/>
    <w:rsid w:val="00786E7F"/>
    <w:rsid w:val="00790C58"/>
    <w:rsid w:val="00792984"/>
    <w:rsid w:val="007937D8"/>
    <w:rsid w:val="0079405B"/>
    <w:rsid w:val="007943B5"/>
    <w:rsid w:val="007A035D"/>
    <w:rsid w:val="007A07B2"/>
    <w:rsid w:val="007A14BD"/>
    <w:rsid w:val="007A15E1"/>
    <w:rsid w:val="007A37A8"/>
    <w:rsid w:val="007A3929"/>
    <w:rsid w:val="007A7A32"/>
    <w:rsid w:val="007A7DFD"/>
    <w:rsid w:val="007B11E7"/>
    <w:rsid w:val="007B1A3E"/>
    <w:rsid w:val="007B1AB8"/>
    <w:rsid w:val="007B4B15"/>
    <w:rsid w:val="007B5974"/>
    <w:rsid w:val="007B656A"/>
    <w:rsid w:val="007B67A8"/>
    <w:rsid w:val="007B68D4"/>
    <w:rsid w:val="007B7BC4"/>
    <w:rsid w:val="007C1790"/>
    <w:rsid w:val="007C4406"/>
    <w:rsid w:val="007C4ABA"/>
    <w:rsid w:val="007C5140"/>
    <w:rsid w:val="007C5C07"/>
    <w:rsid w:val="007D1ED2"/>
    <w:rsid w:val="007D2879"/>
    <w:rsid w:val="007D4CD9"/>
    <w:rsid w:val="007D4DE6"/>
    <w:rsid w:val="007E37AE"/>
    <w:rsid w:val="007E425B"/>
    <w:rsid w:val="007F0FA1"/>
    <w:rsid w:val="007F1321"/>
    <w:rsid w:val="007F17E9"/>
    <w:rsid w:val="007F4615"/>
    <w:rsid w:val="007F6F13"/>
    <w:rsid w:val="00810F20"/>
    <w:rsid w:val="00812A0E"/>
    <w:rsid w:val="00812A41"/>
    <w:rsid w:val="00814008"/>
    <w:rsid w:val="00814266"/>
    <w:rsid w:val="00814D50"/>
    <w:rsid w:val="00815D08"/>
    <w:rsid w:val="0081642B"/>
    <w:rsid w:val="008211F5"/>
    <w:rsid w:val="00821399"/>
    <w:rsid w:val="0082221C"/>
    <w:rsid w:val="0082311C"/>
    <w:rsid w:val="0082346B"/>
    <w:rsid w:val="00823B51"/>
    <w:rsid w:val="0082462F"/>
    <w:rsid w:val="00826A6B"/>
    <w:rsid w:val="00826D4D"/>
    <w:rsid w:val="008307FE"/>
    <w:rsid w:val="00830AB0"/>
    <w:rsid w:val="00830EEC"/>
    <w:rsid w:val="0083768E"/>
    <w:rsid w:val="00841EB4"/>
    <w:rsid w:val="00842855"/>
    <w:rsid w:val="00843BDC"/>
    <w:rsid w:val="0084555F"/>
    <w:rsid w:val="008473D5"/>
    <w:rsid w:val="00851F98"/>
    <w:rsid w:val="00852748"/>
    <w:rsid w:val="008536A2"/>
    <w:rsid w:val="00856FCC"/>
    <w:rsid w:val="008576DC"/>
    <w:rsid w:val="00857DED"/>
    <w:rsid w:val="0086115F"/>
    <w:rsid w:val="00861D2F"/>
    <w:rsid w:val="00862D3A"/>
    <w:rsid w:val="0086714A"/>
    <w:rsid w:val="008678C3"/>
    <w:rsid w:val="00871861"/>
    <w:rsid w:val="0087281E"/>
    <w:rsid w:val="00874352"/>
    <w:rsid w:val="00877880"/>
    <w:rsid w:val="00880481"/>
    <w:rsid w:val="0088198C"/>
    <w:rsid w:val="00881B1B"/>
    <w:rsid w:val="008855BD"/>
    <w:rsid w:val="0088728C"/>
    <w:rsid w:val="00890DB2"/>
    <w:rsid w:val="00890F5F"/>
    <w:rsid w:val="008954E5"/>
    <w:rsid w:val="00896289"/>
    <w:rsid w:val="00897218"/>
    <w:rsid w:val="00897A3A"/>
    <w:rsid w:val="008A1A7B"/>
    <w:rsid w:val="008A373E"/>
    <w:rsid w:val="008A48D1"/>
    <w:rsid w:val="008A551E"/>
    <w:rsid w:val="008A7624"/>
    <w:rsid w:val="008B02A2"/>
    <w:rsid w:val="008B07EF"/>
    <w:rsid w:val="008B0B2F"/>
    <w:rsid w:val="008B1D10"/>
    <w:rsid w:val="008B2D81"/>
    <w:rsid w:val="008B2F7F"/>
    <w:rsid w:val="008B3B4E"/>
    <w:rsid w:val="008B4092"/>
    <w:rsid w:val="008B5F3D"/>
    <w:rsid w:val="008B6F41"/>
    <w:rsid w:val="008B735B"/>
    <w:rsid w:val="008C0187"/>
    <w:rsid w:val="008C0CD7"/>
    <w:rsid w:val="008C5A85"/>
    <w:rsid w:val="008C621C"/>
    <w:rsid w:val="008C7266"/>
    <w:rsid w:val="008C7938"/>
    <w:rsid w:val="008D04A9"/>
    <w:rsid w:val="008D0D1A"/>
    <w:rsid w:val="008D77DB"/>
    <w:rsid w:val="008D792C"/>
    <w:rsid w:val="008E0631"/>
    <w:rsid w:val="008E0F5D"/>
    <w:rsid w:val="008E586A"/>
    <w:rsid w:val="008E68A4"/>
    <w:rsid w:val="008E7EB4"/>
    <w:rsid w:val="008F016E"/>
    <w:rsid w:val="008F16CD"/>
    <w:rsid w:val="008F1777"/>
    <w:rsid w:val="008F1D0F"/>
    <w:rsid w:val="008F3104"/>
    <w:rsid w:val="008F4B2C"/>
    <w:rsid w:val="008F5144"/>
    <w:rsid w:val="008F6EE2"/>
    <w:rsid w:val="008F76C5"/>
    <w:rsid w:val="008F7E2E"/>
    <w:rsid w:val="00902965"/>
    <w:rsid w:val="00903301"/>
    <w:rsid w:val="009045A1"/>
    <w:rsid w:val="009046FE"/>
    <w:rsid w:val="0090608C"/>
    <w:rsid w:val="009125F3"/>
    <w:rsid w:val="009132B7"/>
    <w:rsid w:val="0091361A"/>
    <w:rsid w:val="00914044"/>
    <w:rsid w:val="009169F0"/>
    <w:rsid w:val="0091717E"/>
    <w:rsid w:val="009175D7"/>
    <w:rsid w:val="0092452C"/>
    <w:rsid w:val="009253DF"/>
    <w:rsid w:val="00927EBA"/>
    <w:rsid w:val="00931B41"/>
    <w:rsid w:val="009323B5"/>
    <w:rsid w:val="00933535"/>
    <w:rsid w:val="00933721"/>
    <w:rsid w:val="00934301"/>
    <w:rsid w:val="00934A25"/>
    <w:rsid w:val="00935428"/>
    <w:rsid w:val="00935FB6"/>
    <w:rsid w:val="00937EE4"/>
    <w:rsid w:val="009402C9"/>
    <w:rsid w:val="0094285E"/>
    <w:rsid w:val="009428CE"/>
    <w:rsid w:val="009429AC"/>
    <w:rsid w:val="009431BE"/>
    <w:rsid w:val="009479BA"/>
    <w:rsid w:val="00951388"/>
    <w:rsid w:val="00952CF9"/>
    <w:rsid w:val="009533C8"/>
    <w:rsid w:val="00954080"/>
    <w:rsid w:val="0095457A"/>
    <w:rsid w:val="0095496E"/>
    <w:rsid w:val="00960412"/>
    <w:rsid w:val="00960B6E"/>
    <w:rsid w:val="00961DBA"/>
    <w:rsid w:val="009630F0"/>
    <w:rsid w:val="009663A2"/>
    <w:rsid w:val="00966CCF"/>
    <w:rsid w:val="0096794D"/>
    <w:rsid w:val="00967D9A"/>
    <w:rsid w:val="00967F21"/>
    <w:rsid w:val="0097152A"/>
    <w:rsid w:val="00971A7D"/>
    <w:rsid w:val="00975849"/>
    <w:rsid w:val="00977809"/>
    <w:rsid w:val="00981C54"/>
    <w:rsid w:val="00983E06"/>
    <w:rsid w:val="00987A5D"/>
    <w:rsid w:val="009926AB"/>
    <w:rsid w:val="0099404F"/>
    <w:rsid w:val="0099588B"/>
    <w:rsid w:val="00996FCF"/>
    <w:rsid w:val="009A0645"/>
    <w:rsid w:val="009A1069"/>
    <w:rsid w:val="009A50DA"/>
    <w:rsid w:val="009A5491"/>
    <w:rsid w:val="009A7026"/>
    <w:rsid w:val="009B1D55"/>
    <w:rsid w:val="009B221A"/>
    <w:rsid w:val="009B4279"/>
    <w:rsid w:val="009B4592"/>
    <w:rsid w:val="009B7AFD"/>
    <w:rsid w:val="009C130D"/>
    <w:rsid w:val="009C3746"/>
    <w:rsid w:val="009C4DA5"/>
    <w:rsid w:val="009C60AB"/>
    <w:rsid w:val="009C6A51"/>
    <w:rsid w:val="009C6FD5"/>
    <w:rsid w:val="009C75C8"/>
    <w:rsid w:val="009D0989"/>
    <w:rsid w:val="009D4CF0"/>
    <w:rsid w:val="009D4DB6"/>
    <w:rsid w:val="009D5ABC"/>
    <w:rsid w:val="009D6ABE"/>
    <w:rsid w:val="009D71A1"/>
    <w:rsid w:val="009E04DB"/>
    <w:rsid w:val="009E290D"/>
    <w:rsid w:val="009E2EAF"/>
    <w:rsid w:val="009E307B"/>
    <w:rsid w:val="009E310D"/>
    <w:rsid w:val="009E49AE"/>
    <w:rsid w:val="009E59D4"/>
    <w:rsid w:val="009E6A73"/>
    <w:rsid w:val="009F224E"/>
    <w:rsid w:val="009F396F"/>
    <w:rsid w:val="009F41C3"/>
    <w:rsid w:val="009F578A"/>
    <w:rsid w:val="009F61D2"/>
    <w:rsid w:val="009F633B"/>
    <w:rsid w:val="009F647B"/>
    <w:rsid w:val="00A007A7"/>
    <w:rsid w:val="00A00DCC"/>
    <w:rsid w:val="00A01929"/>
    <w:rsid w:val="00A07622"/>
    <w:rsid w:val="00A07BF2"/>
    <w:rsid w:val="00A11CE2"/>
    <w:rsid w:val="00A12C19"/>
    <w:rsid w:val="00A153D1"/>
    <w:rsid w:val="00A15593"/>
    <w:rsid w:val="00A15709"/>
    <w:rsid w:val="00A159F4"/>
    <w:rsid w:val="00A15E22"/>
    <w:rsid w:val="00A20D57"/>
    <w:rsid w:val="00A2265F"/>
    <w:rsid w:val="00A23DA7"/>
    <w:rsid w:val="00A23DF2"/>
    <w:rsid w:val="00A30E62"/>
    <w:rsid w:val="00A32D21"/>
    <w:rsid w:val="00A340B1"/>
    <w:rsid w:val="00A342EE"/>
    <w:rsid w:val="00A358BB"/>
    <w:rsid w:val="00A360B9"/>
    <w:rsid w:val="00A409BC"/>
    <w:rsid w:val="00A40C99"/>
    <w:rsid w:val="00A41EDE"/>
    <w:rsid w:val="00A4212F"/>
    <w:rsid w:val="00A4556E"/>
    <w:rsid w:val="00A45D5F"/>
    <w:rsid w:val="00A463D3"/>
    <w:rsid w:val="00A51141"/>
    <w:rsid w:val="00A547C4"/>
    <w:rsid w:val="00A56538"/>
    <w:rsid w:val="00A56949"/>
    <w:rsid w:val="00A57C78"/>
    <w:rsid w:val="00A61FF9"/>
    <w:rsid w:val="00A62152"/>
    <w:rsid w:val="00A63B7A"/>
    <w:rsid w:val="00A64E0D"/>
    <w:rsid w:val="00A64F39"/>
    <w:rsid w:val="00A71186"/>
    <w:rsid w:val="00A7253A"/>
    <w:rsid w:val="00A73570"/>
    <w:rsid w:val="00A74F47"/>
    <w:rsid w:val="00A75A63"/>
    <w:rsid w:val="00A7612C"/>
    <w:rsid w:val="00A767E1"/>
    <w:rsid w:val="00A8025D"/>
    <w:rsid w:val="00A80575"/>
    <w:rsid w:val="00A81CAF"/>
    <w:rsid w:val="00A82138"/>
    <w:rsid w:val="00A8221D"/>
    <w:rsid w:val="00A837A9"/>
    <w:rsid w:val="00A84084"/>
    <w:rsid w:val="00A852F3"/>
    <w:rsid w:val="00A856B4"/>
    <w:rsid w:val="00A863A9"/>
    <w:rsid w:val="00A868EB"/>
    <w:rsid w:val="00A86BFC"/>
    <w:rsid w:val="00A90B16"/>
    <w:rsid w:val="00A91116"/>
    <w:rsid w:val="00A94813"/>
    <w:rsid w:val="00A94C45"/>
    <w:rsid w:val="00A967AE"/>
    <w:rsid w:val="00AA1975"/>
    <w:rsid w:val="00AA1BAA"/>
    <w:rsid w:val="00AA375E"/>
    <w:rsid w:val="00AA4F41"/>
    <w:rsid w:val="00AB0958"/>
    <w:rsid w:val="00AB0FA6"/>
    <w:rsid w:val="00AB1103"/>
    <w:rsid w:val="00AB1823"/>
    <w:rsid w:val="00AB3F28"/>
    <w:rsid w:val="00AB4288"/>
    <w:rsid w:val="00AB5E90"/>
    <w:rsid w:val="00AB6CD7"/>
    <w:rsid w:val="00AB7A52"/>
    <w:rsid w:val="00AC3062"/>
    <w:rsid w:val="00AC331B"/>
    <w:rsid w:val="00AC41F6"/>
    <w:rsid w:val="00AC4C4D"/>
    <w:rsid w:val="00AC4CC7"/>
    <w:rsid w:val="00AC68E2"/>
    <w:rsid w:val="00AC69BC"/>
    <w:rsid w:val="00AC7064"/>
    <w:rsid w:val="00AD022A"/>
    <w:rsid w:val="00AD0D9D"/>
    <w:rsid w:val="00AD4673"/>
    <w:rsid w:val="00AD508B"/>
    <w:rsid w:val="00AD7043"/>
    <w:rsid w:val="00AE1D0A"/>
    <w:rsid w:val="00AE1F6B"/>
    <w:rsid w:val="00AE3F32"/>
    <w:rsid w:val="00AE4591"/>
    <w:rsid w:val="00AE6B98"/>
    <w:rsid w:val="00AE7AEF"/>
    <w:rsid w:val="00AF0749"/>
    <w:rsid w:val="00AF17F9"/>
    <w:rsid w:val="00AF3B5B"/>
    <w:rsid w:val="00AF5B2A"/>
    <w:rsid w:val="00AF6A61"/>
    <w:rsid w:val="00B00DB4"/>
    <w:rsid w:val="00B015F2"/>
    <w:rsid w:val="00B0259D"/>
    <w:rsid w:val="00B02F1B"/>
    <w:rsid w:val="00B058D7"/>
    <w:rsid w:val="00B06218"/>
    <w:rsid w:val="00B12162"/>
    <w:rsid w:val="00B12194"/>
    <w:rsid w:val="00B121F4"/>
    <w:rsid w:val="00B12DA9"/>
    <w:rsid w:val="00B15E53"/>
    <w:rsid w:val="00B21AE1"/>
    <w:rsid w:val="00B30550"/>
    <w:rsid w:val="00B31CD4"/>
    <w:rsid w:val="00B34BD7"/>
    <w:rsid w:val="00B364C3"/>
    <w:rsid w:val="00B369DF"/>
    <w:rsid w:val="00B4061E"/>
    <w:rsid w:val="00B41CBD"/>
    <w:rsid w:val="00B41FDC"/>
    <w:rsid w:val="00B45510"/>
    <w:rsid w:val="00B455A8"/>
    <w:rsid w:val="00B46885"/>
    <w:rsid w:val="00B47547"/>
    <w:rsid w:val="00B475D2"/>
    <w:rsid w:val="00B47E6D"/>
    <w:rsid w:val="00B516F7"/>
    <w:rsid w:val="00B53656"/>
    <w:rsid w:val="00B53A30"/>
    <w:rsid w:val="00B54244"/>
    <w:rsid w:val="00B552E4"/>
    <w:rsid w:val="00B55E37"/>
    <w:rsid w:val="00B562C5"/>
    <w:rsid w:val="00B56B38"/>
    <w:rsid w:val="00B56D5B"/>
    <w:rsid w:val="00B60109"/>
    <w:rsid w:val="00B60B99"/>
    <w:rsid w:val="00B6283C"/>
    <w:rsid w:val="00B63508"/>
    <w:rsid w:val="00B63698"/>
    <w:rsid w:val="00B6457A"/>
    <w:rsid w:val="00B74453"/>
    <w:rsid w:val="00B753C3"/>
    <w:rsid w:val="00B80D37"/>
    <w:rsid w:val="00B8335D"/>
    <w:rsid w:val="00B83D93"/>
    <w:rsid w:val="00B865F9"/>
    <w:rsid w:val="00B900B6"/>
    <w:rsid w:val="00B90295"/>
    <w:rsid w:val="00B94F32"/>
    <w:rsid w:val="00B95FDE"/>
    <w:rsid w:val="00BA056D"/>
    <w:rsid w:val="00BA1658"/>
    <w:rsid w:val="00BA1AE8"/>
    <w:rsid w:val="00BA6A6C"/>
    <w:rsid w:val="00BA6EAB"/>
    <w:rsid w:val="00BA7059"/>
    <w:rsid w:val="00BB0154"/>
    <w:rsid w:val="00BB2B69"/>
    <w:rsid w:val="00BB2D8D"/>
    <w:rsid w:val="00BB3891"/>
    <w:rsid w:val="00BB423A"/>
    <w:rsid w:val="00BB5914"/>
    <w:rsid w:val="00BB6446"/>
    <w:rsid w:val="00BC0539"/>
    <w:rsid w:val="00BC70DB"/>
    <w:rsid w:val="00BD2AAF"/>
    <w:rsid w:val="00BD3695"/>
    <w:rsid w:val="00BD4D4B"/>
    <w:rsid w:val="00BD69BB"/>
    <w:rsid w:val="00BD6A40"/>
    <w:rsid w:val="00BE1110"/>
    <w:rsid w:val="00BE27C2"/>
    <w:rsid w:val="00BE3332"/>
    <w:rsid w:val="00BE3F49"/>
    <w:rsid w:val="00BE44D6"/>
    <w:rsid w:val="00BE6ECC"/>
    <w:rsid w:val="00BF1EE9"/>
    <w:rsid w:val="00BF2807"/>
    <w:rsid w:val="00BF5AD5"/>
    <w:rsid w:val="00BF642F"/>
    <w:rsid w:val="00BF7562"/>
    <w:rsid w:val="00BF7FDE"/>
    <w:rsid w:val="00C00134"/>
    <w:rsid w:val="00C009A1"/>
    <w:rsid w:val="00C03860"/>
    <w:rsid w:val="00C05A8B"/>
    <w:rsid w:val="00C05C7F"/>
    <w:rsid w:val="00C06124"/>
    <w:rsid w:val="00C06757"/>
    <w:rsid w:val="00C072B3"/>
    <w:rsid w:val="00C12DD9"/>
    <w:rsid w:val="00C15397"/>
    <w:rsid w:val="00C16A08"/>
    <w:rsid w:val="00C17382"/>
    <w:rsid w:val="00C17F91"/>
    <w:rsid w:val="00C2295C"/>
    <w:rsid w:val="00C25431"/>
    <w:rsid w:val="00C25E78"/>
    <w:rsid w:val="00C26D09"/>
    <w:rsid w:val="00C30A98"/>
    <w:rsid w:val="00C4112D"/>
    <w:rsid w:val="00C41848"/>
    <w:rsid w:val="00C43DDA"/>
    <w:rsid w:val="00C46659"/>
    <w:rsid w:val="00C46F5E"/>
    <w:rsid w:val="00C47B37"/>
    <w:rsid w:val="00C50D25"/>
    <w:rsid w:val="00C511B2"/>
    <w:rsid w:val="00C51BF7"/>
    <w:rsid w:val="00C522A5"/>
    <w:rsid w:val="00C5249A"/>
    <w:rsid w:val="00C525DB"/>
    <w:rsid w:val="00C52CE2"/>
    <w:rsid w:val="00C56110"/>
    <w:rsid w:val="00C56411"/>
    <w:rsid w:val="00C56DE2"/>
    <w:rsid w:val="00C576F3"/>
    <w:rsid w:val="00C57B24"/>
    <w:rsid w:val="00C60DD8"/>
    <w:rsid w:val="00C60FAA"/>
    <w:rsid w:val="00C62D8B"/>
    <w:rsid w:val="00C62D8C"/>
    <w:rsid w:val="00C62E5C"/>
    <w:rsid w:val="00C62FEB"/>
    <w:rsid w:val="00C630F3"/>
    <w:rsid w:val="00C64955"/>
    <w:rsid w:val="00C654B8"/>
    <w:rsid w:val="00C667E5"/>
    <w:rsid w:val="00C72126"/>
    <w:rsid w:val="00C72E49"/>
    <w:rsid w:val="00C745A6"/>
    <w:rsid w:val="00C7497A"/>
    <w:rsid w:val="00C75232"/>
    <w:rsid w:val="00C753C4"/>
    <w:rsid w:val="00C80924"/>
    <w:rsid w:val="00C80A44"/>
    <w:rsid w:val="00C80CE7"/>
    <w:rsid w:val="00C84A36"/>
    <w:rsid w:val="00C85608"/>
    <w:rsid w:val="00C8746C"/>
    <w:rsid w:val="00C87BEA"/>
    <w:rsid w:val="00C922E0"/>
    <w:rsid w:val="00C92358"/>
    <w:rsid w:val="00C9254D"/>
    <w:rsid w:val="00C94427"/>
    <w:rsid w:val="00C94628"/>
    <w:rsid w:val="00CA0DFB"/>
    <w:rsid w:val="00CA24B5"/>
    <w:rsid w:val="00CA2D08"/>
    <w:rsid w:val="00CA7288"/>
    <w:rsid w:val="00CA79BA"/>
    <w:rsid w:val="00CB143B"/>
    <w:rsid w:val="00CB3B7C"/>
    <w:rsid w:val="00CB3C74"/>
    <w:rsid w:val="00CB3EA8"/>
    <w:rsid w:val="00CC0808"/>
    <w:rsid w:val="00CC3D0A"/>
    <w:rsid w:val="00CC5A3D"/>
    <w:rsid w:val="00CC5DCC"/>
    <w:rsid w:val="00CC6A6D"/>
    <w:rsid w:val="00CC72C3"/>
    <w:rsid w:val="00CC7A59"/>
    <w:rsid w:val="00CD0B6F"/>
    <w:rsid w:val="00CD2F55"/>
    <w:rsid w:val="00CD45E1"/>
    <w:rsid w:val="00CD4839"/>
    <w:rsid w:val="00CD593A"/>
    <w:rsid w:val="00CD75CA"/>
    <w:rsid w:val="00CD767C"/>
    <w:rsid w:val="00CE05A1"/>
    <w:rsid w:val="00CE09BF"/>
    <w:rsid w:val="00CE0E1D"/>
    <w:rsid w:val="00CE226C"/>
    <w:rsid w:val="00CE3EE2"/>
    <w:rsid w:val="00CE5908"/>
    <w:rsid w:val="00CE6BD7"/>
    <w:rsid w:val="00CF06EF"/>
    <w:rsid w:val="00CF2291"/>
    <w:rsid w:val="00CF2C44"/>
    <w:rsid w:val="00CF395D"/>
    <w:rsid w:val="00CF3FBC"/>
    <w:rsid w:val="00CF5DB1"/>
    <w:rsid w:val="00CF5E38"/>
    <w:rsid w:val="00CF6C9A"/>
    <w:rsid w:val="00CF7D74"/>
    <w:rsid w:val="00D0104F"/>
    <w:rsid w:val="00D046D7"/>
    <w:rsid w:val="00D052DC"/>
    <w:rsid w:val="00D05735"/>
    <w:rsid w:val="00D1175E"/>
    <w:rsid w:val="00D11972"/>
    <w:rsid w:val="00D11EC8"/>
    <w:rsid w:val="00D122A1"/>
    <w:rsid w:val="00D126D0"/>
    <w:rsid w:val="00D12DB4"/>
    <w:rsid w:val="00D132C6"/>
    <w:rsid w:val="00D1475E"/>
    <w:rsid w:val="00D15270"/>
    <w:rsid w:val="00D17479"/>
    <w:rsid w:val="00D176E4"/>
    <w:rsid w:val="00D2311C"/>
    <w:rsid w:val="00D24A75"/>
    <w:rsid w:val="00D267F9"/>
    <w:rsid w:val="00D300DA"/>
    <w:rsid w:val="00D318DA"/>
    <w:rsid w:val="00D32BBB"/>
    <w:rsid w:val="00D33FBA"/>
    <w:rsid w:val="00D35875"/>
    <w:rsid w:val="00D44EAC"/>
    <w:rsid w:val="00D453C2"/>
    <w:rsid w:val="00D460AB"/>
    <w:rsid w:val="00D46391"/>
    <w:rsid w:val="00D463C9"/>
    <w:rsid w:val="00D50024"/>
    <w:rsid w:val="00D506CB"/>
    <w:rsid w:val="00D528D9"/>
    <w:rsid w:val="00D529AA"/>
    <w:rsid w:val="00D5307C"/>
    <w:rsid w:val="00D55380"/>
    <w:rsid w:val="00D56536"/>
    <w:rsid w:val="00D5731D"/>
    <w:rsid w:val="00D60D7E"/>
    <w:rsid w:val="00D61960"/>
    <w:rsid w:val="00D63928"/>
    <w:rsid w:val="00D65B23"/>
    <w:rsid w:val="00D678B6"/>
    <w:rsid w:val="00D67F7C"/>
    <w:rsid w:val="00D7001E"/>
    <w:rsid w:val="00D70B71"/>
    <w:rsid w:val="00D722E5"/>
    <w:rsid w:val="00D734D4"/>
    <w:rsid w:val="00D73D35"/>
    <w:rsid w:val="00D76CD0"/>
    <w:rsid w:val="00D771E3"/>
    <w:rsid w:val="00D817B1"/>
    <w:rsid w:val="00D81D35"/>
    <w:rsid w:val="00D82C1E"/>
    <w:rsid w:val="00D840B3"/>
    <w:rsid w:val="00D85C8A"/>
    <w:rsid w:val="00D87409"/>
    <w:rsid w:val="00D90D56"/>
    <w:rsid w:val="00D91703"/>
    <w:rsid w:val="00D918FD"/>
    <w:rsid w:val="00D91C1E"/>
    <w:rsid w:val="00D939B5"/>
    <w:rsid w:val="00D94179"/>
    <w:rsid w:val="00D94C4C"/>
    <w:rsid w:val="00D96CE8"/>
    <w:rsid w:val="00D96DEE"/>
    <w:rsid w:val="00DA0657"/>
    <w:rsid w:val="00DA0956"/>
    <w:rsid w:val="00DA0ACD"/>
    <w:rsid w:val="00DA0D52"/>
    <w:rsid w:val="00DA0E35"/>
    <w:rsid w:val="00DA1554"/>
    <w:rsid w:val="00DA37AF"/>
    <w:rsid w:val="00DA4F07"/>
    <w:rsid w:val="00DA518C"/>
    <w:rsid w:val="00DA55BF"/>
    <w:rsid w:val="00DA561D"/>
    <w:rsid w:val="00DA5A4E"/>
    <w:rsid w:val="00DA5C34"/>
    <w:rsid w:val="00DA61C1"/>
    <w:rsid w:val="00DA6DE6"/>
    <w:rsid w:val="00DA7EC8"/>
    <w:rsid w:val="00DB0D2B"/>
    <w:rsid w:val="00DB13EC"/>
    <w:rsid w:val="00DB24C4"/>
    <w:rsid w:val="00DB2A61"/>
    <w:rsid w:val="00DB3758"/>
    <w:rsid w:val="00DB3B34"/>
    <w:rsid w:val="00DB3B8F"/>
    <w:rsid w:val="00DB5735"/>
    <w:rsid w:val="00DB5ECD"/>
    <w:rsid w:val="00DB7BBC"/>
    <w:rsid w:val="00DC03DA"/>
    <w:rsid w:val="00DC6F05"/>
    <w:rsid w:val="00DD19EF"/>
    <w:rsid w:val="00DD1B13"/>
    <w:rsid w:val="00DD1D8F"/>
    <w:rsid w:val="00DD2AAE"/>
    <w:rsid w:val="00DD2E60"/>
    <w:rsid w:val="00DD2F76"/>
    <w:rsid w:val="00DD55A0"/>
    <w:rsid w:val="00DE26DD"/>
    <w:rsid w:val="00DE3729"/>
    <w:rsid w:val="00DE3E55"/>
    <w:rsid w:val="00DE4018"/>
    <w:rsid w:val="00DE50A3"/>
    <w:rsid w:val="00DE6065"/>
    <w:rsid w:val="00DE6358"/>
    <w:rsid w:val="00DE6449"/>
    <w:rsid w:val="00DE7B56"/>
    <w:rsid w:val="00DF1462"/>
    <w:rsid w:val="00DF16BB"/>
    <w:rsid w:val="00DF22D7"/>
    <w:rsid w:val="00DF4169"/>
    <w:rsid w:val="00DF738E"/>
    <w:rsid w:val="00E03325"/>
    <w:rsid w:val="00E03B0F"/>
    <w:rsid w:val="00E06DF6"/>
    <w:rsid w:val="00E0704D"/>
    <w:rsid w:val="00E100AD"/>
    <w:rsid w:val="00E1221F"/>
    <w:rsid w:val="00E13004"/>
    <w:rsid w:val="00E16005"/>
    <w:rsid w:val="00E166C7"/>
    <w:rsid w:val="00E17F0D"/>
    <w:rsid w:val="00E21255"/>
    <w:rsid w:val="00E22475"/>
    <w:rsid w:val="00E22FB0"/>
    <w:rsid w:val="00E25BC9"/>
    <w:rsid w:val="00E30692"/>
    <w:rsid w:val="00E31A6B"/>
    <w:rsid w:val="00E32484"/>
    <w:rsid w:val="00E34884"/>
    <w:rsid w:val="00E357D5"/>
    <w:rsid w:val="00E36F88"/>
    <w:rsid w:val="00E37519"/>
    <w:rsid w:val="00E406CD"/>
    <w:rsid w:val="00E42D33"/>
    <w:rsid w:val="00E43421"/>
    <w:rsid w:val="00E445B0"/>
    <w:rsid w:val="00E456FC"/>
    <w:rsid w:val="00E45A1A"/>
    <w:rsid w:val="00E46F95"/>
    <w:rsid w:val="00E47D92"/>
    <w:rsid w:val="00E50765"/>
    <w:rsid w:val="00E50D50"/>
    <w:rsid w:val="00E52D70"/>
    <w:rsid w:val="00E54AD8"/>
    <w:rsid w:val="00E5688F"/>
    <w:rsid w:val="00E56A21"/>
    <w:rsid w:val="00E6272D"/>
    <w:rsid w:val="00E63F8B"/>
    <w:rsid w:val="00E70D76"/>
    <w:rsid w:val="00E713E2"/>
    <w:rsid w:val="00E71560"/>
    <w:rsid w:val="00E75537"/>
    <w:rsid w:val="00E75712"/>
    <w:rsid w:val="00E76E58"/>
    <w:rsid w:val="00E77EB7"/>
    <w:rsid w:val="00E81D6A"/>
    <w:rsid w:val="00E8295B"/>
    <w:rsid w:val="00E8401D"/>
    <w:rsid w:val="00E843F2"/>
    <w:rsid w:val="00E84BA4"/>
    <w:rsid w:val="00E8652A"/>
    <w:rsid w:val="00E901A0"/>
    <w:rsid w:val="00E902B1"/>
    <w:rsid w:val="00E903B9"/>
    <w:rsid w:val="00E91AC8"/>
    <w:rsid w:val="00E92E50"/>
    <w:rsid w:val="00E930EB"/>
    <w:rsid w:val="00E94B3F"/>
    <w:rsid w:val="00E94C47"/>
    <w:rsid w:val="00E95F23"/>
    <w:rsid w:val="00EA268C"/>
    <w:rsid w:val="00EA3761"/>
    <w:rsid w:val="00EA3AFA"/>
    <w:rsid w:val="00EA5254"/>
    <w:rsid w:val="00EA60EE"/>
    <w:rsid w:val="00EB061A"/>
    <w:rsid w:val="00EB1F2F"/>
    <w:rsid w:val="00EB30A6"/>
    <w:rsid w:val="00EB3A10"/>
    <w:rsid w:val="00EB4361"/>
    <w:rsid w:val="00EB59D4"/>
    <w:rsid w:val="00EB6422"/>
    <w:rsid w:val="00EC032C"/>
    <w:rsid w:val="00EC2BEF"/>
    <w:rsid w:val="00EC524C"/>
    <w:rsid w:val="00EC5427"/>
    <w:rsid w:val="00EC60A5"/>
    <w:rsid w:val="00ED1699"/>
    <w:rsid w:val="00ED1D59"/>
    <w:rsid w:val="00ED4EF9"/>
    <w:rsid w:val="00ED6438"/>
    <w:rsid w:val="00ED6722"/>
    <w:rsid w:val="00ED6C6B"/>
    <w:rsid w:val="00ED7BB6"/>
    <w:rsid w:val="00ED7E37"/>
    <w:rsid w:val="00EE10C3"/>
    <w:rsid w:val="00EE1A0A"/>
    <w:rsid w:val="00EE3A76"/>
    <w:rsid w:val="00EE52C3"/>
    <w:rsid w:val="00EE5391"/>
    <w:rsid w:val="00EF06CE"/>
    <w:rsid w:val="00EF0883"/>
    <w:rsid w:val="00EF0BF1"/>
    <w:rsid w:val="00EF0D20"/>
    <w:rsid w:val="00EF13E2"/>
    <w:rsid w:val="00EF20E1"/>
    <w:rsid w:val="00EF6398"/>
    <w:rsid w:val="00EF768A"/>
    <w:rsid w:val="00F05266"/>
    <w:rsid w:val="00F05871"/>
    <w:rsid w:val="00F05E0F"/>
    <w:rsid w:val="00F063F4"/>
    <w:rsid w:val="00F0643E"/>
    <w:rsid w:val="00F079EF"/>
    <w:rsid w:val="00F07C5E"/>
    <w:rsid w:val="00F102E0"/>
    <w:rsid w:val="00F12355"/>
    <w:rsid w:val="00F12EF5"/>
    <w:rsid w:val="00F15F9B"/>
    <w:rsid w:val="00F16379"/>
    <w:rsid w:val="00F16EA2"/>
    <w:rsid w:val="00F20300"/>
    <w:rsid w:val="00F208F6"/>
    <w:rsid w:val="00F21A7D"/>
    <w:rsid w:val="00F2459E"/>
    <w:rsid w:val="00F250AA"/>
    <w:rsid w:val="00F2517E"/>
    <w:rsid w:val="00F271D8"/>
    <w:rsid w:val="00F3034D"/>
    <w:rsid w:val="00F31B4F"/>
    <w:rsid w:val="00F31E74"/>
    <w:rsid w:val="00F320B8"/>
    <w:rsid w:val="00F330BF"/>
    <w:rsid w:val="00F3444E"/>
    <w:rsid w:val="00F356BF"/>
    <w:rsid w:val="00F3604E"/>
    <w:rsid w:val="00F362BA"/>
    <w:rsid w:val="00F36329"/>
    <w:rsid w:val="00F40878"/>
    <w:rsid w:val="00F41950"/>
    <w:rsid w:val="00F42BE1"/>
    <w:rsid w:val="00F43F36"/>
    <w:rsid w:val="00F444E6"/>
    <w:rsid w:val="00F4525D"/>
    <w:rsid w:val="00F4579C"/>
    <w:rsid w:val="00F56B74"/>
    <w:rsid w:val="00F579DB"/>
    <w:rsid w:val="00F618DD"/>
    <w:rsid w:val="00F628AE"/>
    <w:rsid w:val="00F63FEF"/>
    <w:rsid w:val="00F65BAF"/>
    <w:rsid w:val="00F66E05"/>
    <w:rsid w:val="00F72A66"/>
    <w:rsid w:val="00F7468B"/>
    <w:rsid w:val="00F77D26"/>
    <w:rsid w:val="00F80262"/>
    <w:rsid w:val="00F80435"/>
    <w:rsid w:val="00F82A0A"/>
    <w:rsid w:val="00F82C28"/>
    <w:rsid w:val="00F835BE"/>
    <w:rsid w:val="00F83C06"/>
    <w:rsid w:val="00F84DD5"/>
    <w:rsid w:val="00F853D7"/>
    <w:rsid w:val="00F87103"/>
    <w:rsid w:val="00F87184"/>
    <w:rsid w:val="00F87206"/>
    <w:rsid w:val="00F87FD1"/>
    <w:rsid w:val="00F90443"/>
    <w:rsid w:val="00F904FC"/>
    <w:rsid w:val="00F93F26"/>
    <w:rsid w:val="00F956A2"/>
    <w:rsid w:val="00F978E8"/>
    <w:rsid w:val="00FA064E"/>
    <w:rsid w:val="00FA2A1D"/>
    <w:rsid w:val="00FA30F3"/>
    <w:rsid w:val="00FA6442"/>
    <w:rsid w:val="00FB093B"/>
    <w:rsid w:val="00FB316A"/>
    <w:rsid w:val="00FB32F3"/>
    <w:rsid w:val="00FB4097"/>
    <w:rsid w:val="00FB4992"/>
    <w:rsid w:val="00FB575E"/>
    <w:rsid w:val="00FB6F27"/>
    <w:rsid w:val="00FC10A6"/>
    <w:rsid w:val="00FC2D8C"/>
    <w:rsid w:val="00FC34B5"/>
    <w:rsid w:val="00FC59EF"/>
    <w:rsid w:val="00FC642E"/>
    <w:rsid w:val="00FD06B0"/>
    <w:rsid w:val="00FD0D94"/>
    <w:rsid w:val="00FD1574"/>
    <w:rsid w:val="00FD23CF"/>
    <w:rsid w:val="00FD24CE"/>
    <w:rsid w:val="00FE0074"/>
    <w:rsid w:val="00FE1330"/>
    <w:rsid w:val="00FE47BB"/>
    <w:rsid w:val="00FE7D57"/>
    <w:rsid w:val="00FF0354"/>
    <w:rsid w:val="00FF055A"/>
    <w:rsid w:val="00FF251A"/>
    <w:rsid w:val="00FF2D00"/>
    <w:rsid w:val="00FF4299"/>
    <w:rsid w:val="00FF595B"/>
    <w:rsid w:val="00FF5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rules v:ext="edit">
        <o:r id="V:Rule1"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7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7565A"/>
    <w:pPr>
      <w:keepNext/>
      <w:keepLines/>
      <w:spacing w:before="480"/>
      <w:outlineLvl w:val="0"/>
    </w:pPr>
    <w:rPr>
      <w:rFonts w:ascii="Cambria" w:hAnsi="Cambria"/>
      <w:b/>
      <w:bCs/>
      <w:color w:val="365F91"/>
    </w:rPr>
  </w:style>
  <w:style w:type="paragraph" w:styleId="Heading2">
    <w:name w:val="heading 2"/>
    <w:basedOn w:val="Normal"/>
    <w:next w:val="Normal"/>
    <w:link w:val="Heading2Char"/>
    <w:uiPriority w:val="9"/>
    <w:unhideWhenUsed/>
    <w:qFormat/>
    <w:rsid w:val="0057565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6E38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565A"/>
    <w:pPr>
      <w:keepNext/>
      <w:spacing w:before="240" w:after="60"/>
      <w:outlineLvl w:val="3"/>
    </w:pPr>
    <w:rPr>
      <w:b/>
      <w:bCs/>
      <w:color w:val="000000"/>
      <w:lang w:val="vi-VN"/>
    </w:rPr>
  </w:style>
  <w:style w:type="paragraph" w:styleId="Heading5">
    <w:name w:val="heading 5"/>
    <w:basedOn w:val="Normal"/>
    <w:next w:val="Normal"/>
    <w:link w:val="Heading5Char"/>
    <w:uiPriority w:val="9"/>
    <w:semiHidden/>
    <w:unhideWhenUsed/>
    <w:qFormat/>
    <w:rsid w:val="000E4F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76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565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7565A"/>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rsid w:val="0057565A"/>
    <w:rPr>
      <w:rFonts w:ascii="Times New Roman" w:eastAsia="Times New Roman" w:hAnsi="Times New Roman" w:cs="Times New Roman"/>
      <w:b/>
      <w:bCs/>
      <w:color w:val="000000"/>
      <w:sz w:val="28"/>
      <w:szCs w:val="28"/>
      <w:lang w:val="vi-VN"/>
    </w:rPr>
  </w:style>
  <w:style w:type="paragraph" w:styleId="BalloonText">
    <w:name w:val="Balloon Text"/>
    <w:basedOn w:val="Normal"/>
    <w:link w:val="BalloonTextChar"/>
    <w:uiPriority w:val="99"/>
    <w:semiHidden/>
    <w:unhideWhenUsed/>
    <w:rsid w:val="004D6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BD"/>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6E38B2"/>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unhideWhenUsed/>
    <w:rsid w:val="00DA5A4E"/>
    <w:pPr>
      <w:tabs>
        <w:tab w:val="center" w:pos="4680"/>
        <w:tab w:val="right" w:pos="9360"/>
      </w:tabs>
    </w:pPr>
  </w:style>
  <w:style w:type="character" w:customStyle="1" w:styleId="HeaderChar">
    <w:name w:val="Header Char"/>
    <w:basedOn w:val="DefaultParagraphFont"/>
    <w:link w:val="Header"/>
    <w:uiPriority w:val="99"/>
    <w:rsid w:val="00DA5A4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A5A4E"/>
    <w:pPr>
      <w:tabs>
        <w:tab w:val="center" w:pos="4680"/>
        <w:tab w:val="right" w:pos="9360"/>
      </w:tabs>
    </w:pPr>
  </w:style>
  <w:style w:type="character" w:customStyle="1" w:styleId="FooterChar">
    <w:name w:val="Footer Char"/>
    <w:basedOn w:val="DefaultParagraphFont"/>
    <w:link w:val="Footer"/>
    <w:uiPriority w:val="99"/>
    <w:rsid w:val="00DA5A4E"/>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0E4FC7"/>
    <w:rPr>
      <w:rFonts w:asciiTheme="majorHAnsi" w:eastAsiaTheme="majorEastAsia" w:hAnsiTheme="majorHAnsi" w:cstheme="majorBidi"/>
      <w:color w:val="243F60" w:themeColor="accent1" w:themeShade="7F"/>
      <w:sz w:val="28"/>
      <w:szCs w:val="28"/>
    </w:rPr>
  </w:style>
  <w:style w:type="paragraph" w:styleId="BodyText">
    <w:name w:val="Body Text"/>
    <w:basedOn w:val="Normal"/>
    <w:link w:val="BodyTextChar"/>
    <w:rsid w:val="000E4FC7"/>
    <w:pPr>
      <w:jc w:val="both"/>
    </w:pPr>
    <w:rPr>
      <w:rFonts w:ascii=".VnTime" w:hAnsi=".VnTime"/>
      <w:szCs w:val="20"/>
    </w:rPr>
  </w:style>
  <w:style w:type="character" w:customStyle="1" w:styleId="BodyTextChar">
    <w:name w:val="Body Text Char"/>
    <w:basedOn w:val="DefaultParagraphFont"/>
    <w:link w:val="BodyText"/>
    <w:rsid w:val="000E4FC7"/>
    <w:rPr>
      <w:rFonts w:ascii=".VnTime" w:eastAsia="Times New Roman" w:hAnsi=".VnTime" w:cs="Times New Roman"/>
      <w:sz w:val="28"/>
      <w:szCs w:val="20"/>
    </w:rPr>
  </w:style>
  <w:style w:type="character" w:customStyle="1" w:styleId="Bodytext14">
    <w:name w:val="Body text (14)_"/>
    <w:link w:val="Bodytext140"/>
    <w:rsid w:val="0044693B"/>
    <w:rPr>
      <w:sz w:val="21"/>
      <w:szCs w:val="21"/>
      <w:shd w:val="clear" w:color="auto" w:fill="FFFFFF"/>
    </w:rPr>
  </w:style>
  <w:style w:type="paragraph" w:customStyle="1" w:styleId="Bodytext140">
    <w:name w:val="Body text (14)"/>
    <w:basedOn w:val="Normal"/>
    <w:link w:val="Bodytext14"/>
    <w:rsid w:val="0044693B"/>
    <w:pPr>
      <w:widowControl w:val="0"/>
      <w:shd w:val="clear" w:color="auto" w:fill="FFFFFF"/>
      <w:spacing w:before="780" w:after="60" w:line="0" w:lineRule="atLeast"/>
      <w:jc w:val="both"/>
    </w:pPr>
    <w:rPr>
      <w:rFonts w:asciiTheme="minorHAnsi" w:eastAsiaTheme="minorHAnsi" w:hAnsiTheme="minorHAnsi" w:cstheme="minorBidi"/>
      <w:sz w:val="21"/>
      <w:szCs w:val="21"/>
    </w:rPr>
  </w:style>
  <w:style w:type="paragraph" w:styleId="EndnoteText">
    <w:name w:val="endnote text"/>
    <w:basedOn w:val="Normal"/>
    <w:link w:val="EndnoteTextChar"/>
    <w:uiPriority w:val="99"/>
    <w:semiHidden/>
    <w:unhideWhenUsed/>
    <w:rsid w:val="00551AF3"/>
    <w:rPr>
      <w:sz w:val="20"/>
      <w:szCs w:val="20"/>
    </w:rPr>
  </w:style>
  <w:style w:type="character" w:customStyle="1" w:styleId="EndnoteTextChar">
    <w:name w:val="Endnote Text Char"/>
    <w:basedOn w:val="DefaultParagraphFont"/>
    <w:link w:val="EndnoteText"/>
    <w:uiPriority w:val="99"/>
    <w:semiHidden/>
    <w:rsid w:val="00551AF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51AF3"/>
    <w:rPr>
      <w:vertAlign w:val="superscript"/>
    </w:rPr>
  </w:style>
  <w:style w:type="paragraph" w:styleId="FootnoteText">
    <w:name w:val="footnote text"/>
    <w:aliases w:val="Footnote Text Char Char Char Char Char,Footnote Text Char Char Char Char Char Char Ch, Char Char, Char, Char9,Char9,fn,Footnotes,Footnote ak,Footnotes Char Char,Footnotes Char Ch,Geneva 9,Font: Geneva 9,Boston 10,f Char,f,FOOTNO, Cha,foot"/>
    <w:basedOn w:val="Normal"/>
    <w:link w:val="FootnoteTextChar"/>
    <w:unhideWhenUsed/>
    <w:rsid w:val="00613B11"/>
    <w:rPr>
      <w:sz w:val="20"/>
      <w:szCs w:val="20"/>
    </w:rPr>
  </w:style>
  <w:style w:type="character" w:customStyle="1" w:styleId="FootnoteTextChar">
    <w:name w:val="Footnote Text Char"/>
    <w:aliases w:val="Footnote Text Char Char Char Char Char Char,Footnote Text Char Char Char Char Char Char Ch Char, Char Char Char, Char Char1, Char9 Char,Char9 Char,fn Char,Footnotes Char,Footnote ak Char,Footnotes Char Char Char,Footnotes Char Ch Char"/>
    <w:basedOn w:val="DefaultParagraphFont"/>
    <w:link w:val="FootnoteText"/>
    <w:rsid w:val="00613B11"/>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nhideWhenUsed/>
    <w:rsid w:val="00613B11"/>
    <w:rPr>
      <w:vertAlign w:val="superscript"/>
    </w:rPr>
  </w:style>
  <w:style w:type="paragraph" w:styleId="NormalWeb">
    <w:name w:val="Normal (Web)"/>
    <w:basedOn w:val="Normal"/>
    <w:uiPriority w:val="99"/>
    <w:rsid w:val="005343FA"/>
    <w:pPr>
      <w:spacing w:before="100" w:beforeAutospacing="1" w:after="100" w:afterAutospacing="1"/>
    </w:pPr>
    <w:rPr>
      <w:sz w:val="24"/>
      <w:szCs w:val="24"/>
    </w:rPr>
  </w:style>
  <w:style w:type="paragraph" w:styleId="ListParagraph">
    <w:name w:val="List Paragraph"/>
    <w:basedOn w:val="Normal"/>
    <w:uiPriority w:val="34"/>
    <w:qFormat/>
    <w:rsid w:val="00B05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67031">
      <w:bodyDiv w:val="1"/>
      <w:marLeft w:val="0"/>
      <w:marRight w:val="0"/>
      <w:marTop w:val="0"/>
      <w:marBottom w:val="0"/>
      <w:divBdr>
        <w:top w:val="none" w:sz="0" w:space="0" w:color="auto"/>
        <w:left w:val="none" w:sz="0" w:space="0" w:color="auto"/>
        <w:bottom w:val="none" w:sz="0" w:space="0" w:color="auto"/>
        <w:right w:val="none" w:sz="0" w:space="0" w:color="auto"/>
      </w:divBdr>
    </w:div>
    <w:div w:id="1367488346">
      <w:bodyDiv w:val="1"/>
      <w:marLeft w:val="0"/>
      <w:marRight w:val="0"/>
      <w:marTop w:val="0"/>
      <w:marBottom w:val="0"/>
      <w:divBdr>
        <w:top w:val="none" w:sz="0" w:space="0" w:color="auto"/>
        <w:left w:val="none" w:sz="0" w:space="0" w:color="auto"/>
        <w:bottom w:val="none" w:sz="0" w:space="0" w:color="auto"/>
        <w:right w:val="none" w:sz="0" w:space="0" w:color="auto"/>
      </w:divBdr>
    </w:div>
    <w:div w:id="17844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97EA90-DE4F-46DD-A3EF-90F7AAF9B797}">
  <ds:schemaRefs>
    <ds:schemaRef ds:uri="http://schemas.openxmlformats.org/officeDocument/2006/bibliography"/>
  </ds:schemaRefs>
</ds:datastoreItem>
</file>

<file path=customXml/itemProps2.xml><?xml version="1.0" encoding="utf-8"?>
<ds:datastoreItem xmlns:ds="http://schemas.openxmlformats.org/officeDocument/2006/customXml" ds:itemID="{0AD7AD8E-517C-4244-A69F-BD76849FAC71}"/>
</file>

<file path=customXml/itemProps3.xml><?xml version="1.0" encoding="utf-8"?>
<ds:datastoreItem xmlns:ds="http://schemas.openxmlformats.org/officeDocument/2006/customXml" ds:itemID="{FB984F70-9668-4143-803B-8F0521A97677}"/>
</file>

<file path=customXml/itemProps4.xml><?xml version="1.0" encoding="utf-8"?>
<ds:datastoreItem xmlns:ds="http://schemas.openxmlformats.org/officeDocument/2006/customXml" ds:itemID="{E3F02951-A7BD-4B16-9A4C-8EE4472C3C83}"/>
</file>

<file path=docProps/app.xml><?xml version="1.0" encoding="utf-8"?>
<Properties xmlns="http://schemas.openxmlformats.org/officeDocument/2006/extended-properties" xmlns:vt="http://schemas.openxmlformats.org/officeDocument/2006/docPropsVTypes">
  <Template>Normal</Template>
  <TotalTime>5694</TotalTime>
  <Pages>7</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1097</cp:revision>
  <cp:lastPrinted>2025-02-11T01:57:00Z</cp:lastPrinted>
  <dcterms:created xsi:type="dcterms:W3CDTF">2018-02-05T01:30:00Z</dcterms:created>
  <dcterms:modified xsi:type="dcterms:W3CDTF">2025-07-03T08:22:00Z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